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  <w:bookmarkStart w:id="0" w:name="_GoBack"/>
      <w:bookmarkEnd w:id="0"/>
    </w:p>
    <w:p w:rsidR="00372533" w:rsidRPr="00372533" w:rsidRDefault="00441065" w:rsidP="00372533">
      <w:pPr>
        <w:spacing w:after="0" w:line="240" w:lineRule="auto"/>
        <w:rPr>
          <w:rFonts w:ascii="Times New Roman" w:hAnsi="Times New Roman" w:cs="Times New Roman"/>
        </w:rPr>
      </w:pPr>
      <w:r w:rsidRPr="00441065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441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72533" w:rsidRPr="00372533">
        <w:rPr>
          <w:rFonts w:ascii="Times New Roman" w:hAnsi="Times New Roman" w:cs="Times New Roman"/>
          <w:noProof/>
        </w:rPr>
        <w:drawing>
          <wp:inline distT="0" distB="0" distL="0" distR="0" wp14:anchorId="54FD8B4E" wp14:editId="1DD6043B">
            <wp:extent cx="466725" cy="581025"/>
            <wp:effectExtent l="0" t="0" r="0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4358"/>
        <w:gridCol w:w="1134"/>
        <w:gridCol w:w="4356"/>
      </w:tblGrid>
      <w:tr w:rsidR="00372533" w:rsidRPr="00372533" w:rsidTr="00944875">
        <w:trPr>
          <w:jc w:val="center"/>
        </w:trPr>
        <w:tc>
          <w:tcPr>
            <w:tcW w:w="4358" w:type="dxa"/>
            <w:vAlign w:val="center"/>
          </w:tcPr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муниципального образования «Городской округ «Город Глазов» Удмуртской Республики»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(Администрация города Глазова)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 xml:space="preserve">Динамо ул., д. 6, г. Глазов, 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Удмуртская Республика, 427620,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тел. (341-41) 2-13-00, тел/факс (341-41) 2-55-76,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25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372533">
              <w:rPr>
                <w:rFonts w:ascii="Times New Roman" w:hAnsi="Times New Roman" w:cs="Times New Roman"/>
                <w:u w:val="single"/>
                <w:lang w:val="en-US"/>
              </w:rPr>
              <w:t>omsu@glazov.udmr.ru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ОКПО 04049641, ОГРН 1021801092170,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ИНН/КПП 1829007602/183701001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</w:tcPr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«Удмурт Элькунысь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«Глазкар» кар округ»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 xml:space="preserve"> муниципал кылдытэтлэн Администрациез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(Глазкарлэн Администрациез)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 xml:space="preserve">Динамо ур., 6-тӥ юрт, Глазкар к., 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Удмурт Элькун, 427620,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тел. (341-41) 2-13-00, тел/факс (341-41) 2-55-76,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25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372533">
              <w:rPr>
                <w:rFonts w:ascii="Times New Roman" w:hAnsi="Times New Roman" w:cs="Times New Roman"/>
                <w:u w:val="single"/>
                <w:lang w:val="en-US"/>
              </w:rPr>
              <w:t>omsu@glazov.udmr.ru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ОКПО 04049641, ОГРН 1021801092170,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ИНН/КПП 1829007602/183701001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41065" w:rsidRDefault="00441065" w:rsidP="004D6AF7">
      <w:pPr>
        <w:spacing w:after="0" w:line="240" w:lineRule="auto"/>
        <w:rPr>
          <w:rFonts w:ascii="Times New Roman" w:hAnsi="Times New Roman" w:cs="Times New Roman"/>
        </w:rPr>
      </w:pPr>
    </w:p>
    <w:p w:rsidR="00372533" w:rsidRDefault="00372533" w:rsidP="004D6AF7">
      <w:pPr>
        <w:spacing w:after="0" w:line="240" w:lineRule="auto"/>
        <w:rPr>
          <w:rFonts w:ascii="Times New Roman" w:hAnsi="Times New Roman" w:cs="Times New Roman"/>
        </w:rPr>
      </w:pPr>
    </w:p>
    <w:p w:rsidR="005C5C70" w:rsidRPr="0051186B" w:rsidRDefault="001075C2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="00DC31BB">
        <w:rPr>
          <w:rFonts w:ascii="Times New Roman" w:hAnsi="Times New Roman" w:cs="Times New Roman"/>
          <w:b/>
        </w:rPr>
        <w:t>1</w:t>
      </w:r>
      <w:r w:rsidR="00A21A4D">
        <w:rPr>
          <w:rFonts w:ascii="Times New Roman" w:hAnsi="Times New Roman" w:cs="Times New Roman"/>
          <w:b/>
        </w:rPr>
        <w:t xml:space="preserve"> </w:t>
      </w:r>
    </w:p>
    <w:p w:rsidR="001075C2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 xml:space="preserve">заседания </w:t>
      </w:r>
      <w:r w:rsidR="001075C2">
        <w:rPr>
          <w:rFonts w:ascii="Times New Roman" w:hAnsi="Times New Roman" w:cs="Times New Roman"/>
          <w:b/>
        </w:rPr>
        <w:t xml:space="preserve">муниципальной </w:t>
      </w:r>
    </w:p>
    <w:p w:rsidR="00074781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>антинаркотической комиссии МО «Город Глазов»</w:t>
      </w:r>
      <w:r>
        <w:rPr>
          <w:rFonts w:ascii="Times New Roman" w:hAnsi="Times New Roman" w:cs="Times New Roman"/>
          <w:b/>
        </w:rPr>
        <w:t>.</w:t>
      </w:r>
    </w:p>
    <w:p w:rsidR="00074781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</w:p>
    <w:p w:rsidR="00A941A5" w:rsidRPr="006E529F" w:rsidRDefault="00A941A5" w:rsidP="000747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781" w:rsidRPr="006E529F" w:rsidRDefault="00074781" w:rsidP="0007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29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EF10E0" w:rsidRPr="006E529F">
        <w:rPr>
          <w:rFonts w:ascii="Times New Roman" w:hAnsi="Times New Roman" w:cs="Times New Roman"/>
          <w:sz w:val="24"/>
          <w:szCs w:val="24"/>
        </w:rPr>
        <w:t xml:space="preserve"> </w:t>
      </w:r>
      <w:r w:rsidR="00A21A4D">
        <w:rPr>
          <w:rFonts w:ascii="Times New Roman" w:hAnsi="Times New Roman" w:cs="Times New Roman"/>
          <w:sz w:val="24"/>
          <w:szCs w:val="24"/>
        </w:rPr>
        <w:t>28</w:t>
      </w:r>
      <w:r w:rsidR="00DC31BB">
        <w:rPr>
          <w:rFonts w:ascii="Times New Roman" w:hAnsi="Times New Roman" w:cs="Times New Roman"/>
          <w:sz w:val="24"/>
          <w:szCs w:val="24"/>
        </w:rPr>
        <w:t>.0</w:t>
      </w:r>
      <w:r w:rsidR="00A21A4D">
        <w:rPr>
          <w:rFonts w:ascii="Times New Roman" w:hAnsi="Times New Roman" w:cs="Times New Roman"/>
          <w:sz w:val="24"/>
          <w:szCs w:val="24"/>
        </w:rPr>
        <w:t>3</w:t>
      </w:r>
      <w:r w:rsidR="0021759E" w:rsidRPr="006E529F">
        <w:rPr>
          <w:rFonts w:ascii="Times New Roman" w:hAnsi="Times New Roman" w:cs="Times New Roman"/>
          <w:sz w:val="24"/>
          <w:szCs w:val="24"/>
        </w:rPr>
        <w:t>.202</w:t>
      </w:r>
      <w:r w:rsidR="00A21A4D">
        <w:rPr>
          <w:rFonts w:ascii="Times New Roman" w:hAnsi="Times New Roman" w:cs="Times New Roman"/>
          <w:sz w:val="24"/>
          <w:szCs w:val="24"/>
        </w:rPr>
        <w:t>5</w:t>
      </w:r>
    </w:p>
    <w:p w:rsidR="00074781" w:rsidRPr="006E529F" w:rsidRDefault="00074781" w:rsidP="0007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90D" w:rsidRDefault="0070490D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90D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DC31BB" w:rsidRPr="0070490D" w:rsidRDefault="00DC31BB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Коновалов С.Н., председатель АНК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Станкевич О.В., заместитель Главы Администрации по социальной политике, заместитель председателя комиссии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Касимова Е.Л., начальник сектора по делам молодежи и спорту управления культуры, спорта и молодежной политики Администрации города Глазова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Обухова О.О., начальник управления образования Администрации города Глазова</w:t>
      </w:r>
    </w:p>
    <w:p w:rsidR="0070490D" w:rsidRPr="0070490D" w:rsidRDefault="0098145E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Науменко Л.Э</w:t>
      </w:r>
      <w:r w:rsidR="0070490D" w:rsidRPr="0070490D">
        <w:rPr>
          <w:rFonts w:ascii="Times New Roman" w:hAnsi="Times New Roman" w:cs="Times New Roman"/>
          <w:sz w:val="24"/>
          <w:szCs w:val="24"/>
        </w:rPr>
        <w:t>., специалист управления культуры, спорта и молодежной политики Администрации города Глазова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Корепанов Е.С., заместитель начальника полиции МО МВД России «Глазовский»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Блинов А.А., заместитель главного врача по медицинской части обособленного подразделения БУЗ УР «РКЦПЗ МЗ УР» г. Глазова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Лекомцева М.В., директор МБУ «Молодежный центр»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Урванцева Т.А., заведующая филиалом казенного учреждения Удмуртской Республики «Республиканский центр социальных выплат» в городе Глазове.</w:t>
      </w:r>
    </w:p>
    <w:p w:rsid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A4D" w:rsidRPr="0070490D" w:rsidRDefault="00A21A4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90D" w:rsidRPr="00A21A4D" w:rsidRDefault="0070490D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A4D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Глазовская межрайонная прокуратура</w:t>
      </w:r>
    </w:p>
    <w:p w:rsidR="00A941A5" w:rsidRPr="006E529F" w:rsidRDefault="00DC31BB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 А.В.. начальник отдела мобилизационной работы Администрации города Глазова</w:t>
      </w:r>
    </w:p>
    <w:p w:rsidR="00A941A5" w:rsidRDefault="0022342C" w:rsidP="006E52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 С.В., заведующий наркологическим отделением </w:t>
      </w:r>
      <w:r w:rsidRPr="0022342C">
        <w:rPr>
          <w:rFonts w:ascii="Times New Roman" w:hAnsi="Times New Roman" w:cs="Times New Roman"/>
          <w:sz w:val="24"/>
          <w:szCs w:val="24"/>
        </w:rPr>
        <w:t>обособленного подразделения БУЗ УР «РКЦПЗ МЗ УР» г. Глазова</w:t>
      </w:r>
    </w:p>
    <w:p w:rsidR="00A21A4D" w:rsidRDefault="00A21A4D" w:rsidP="006E52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Касимова С.А., проректор по воспитательной работе ГИПУ</w:t>
      </w:r>
    </w:p>
    <w:p w:rsidR="00A21A4D" w:rsidRDefault="00A21A4D" w:rsidP="006E52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К.Н., помощник ректора ГИПУ</w:t>
      </w:r>
    </w:p>
    <w:p w:rsidR="00A21A4D" w:rsidRDefault="00A21A4D" w:rsidP="006E52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Одинцов С.Г., директор ГАПТ</w:t>
      </w:r>
    </w:p>
    <w:p w:rsidR="00A21A4D" w:rsidRPr="006E529F" w:rsidRDefault="00A21A4D" w:rsidP="006E52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Гараев Р.Р., начальник ОКОН </w:t>
      </w:r>
      <w:r w:rsidRPr="00A21A4D">
        <w:rPr>
          <w:rFonts w:ascii="Times New Roman" w:hAnsi="Times New Roman" w:cs="Times New Roman"/>
          <w:sz w:val="24"/>
          <w:szCs w:val="24"/>
        </w:rPr>
        <w:t>МО МВД России «Глазовский»</w:t>
      </w:r>
    </w:p>
    <w:p w:rsidR="0022342C" w:rsidRPr="0008252B" w:rsidRDefault="0008252B" w:rsidP="0008252B">
      <w:pPr>
        <w:spacing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8252B">
        <w:rPr>
          <w:rFonts w:ascii="Times New Roman" w:hAnsi="Times New Roman" w:cs="Times New Roman"/>
          <w:sz w:val="24"/>
          <w:szCs w:val="24"/>
        </w:rPr>
        <w:t>Глушкова Н.С, ОДН МО МВД России «Глазовский»</w:t>
      </w:r>
    </w:p>
    <w:p w:rsidR="00A21A4D" w:rsidRDefault="00A1572D" w:rsidP="0008252B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A1572D">
        <w:rPr>
          <w:rFonts w:ascii="Times New Roman" w:hAnsi="Times New Roman" w:cs="Times New Roman"/>
          <w:sz w:val="24"/>
          <w:szCs w:val="24"/>
        </w:rPr>
        <w:t>Обухова О.В., заведующая Глазовским зональным центром БУЗ УР «УРЦ СПИД и ИЗ</w:t>
      </w:r>
      <w:r w:rsidRPr="00A1572D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</w:t>
      </w:r>
    </w:p>
    <w:p w:rsidR="00A21A4D" w:rsidRDefault="00A21A4D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67" w:rsidRDefault="00B10E67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29F">
        <w:rPr>
          <w:rFonts w:ascii="Times New Roman" w:hAnsi="Times New Roman" w:cs="Times New Roman"/>
          <w:b/>
          <w:sz w:val="24"/>
          <w:szCs w:val="24"/>
        </w:rPr>
        <w:t>Повестка дня.</w:t>
      </w:r>
    </w:p>
    <w:p w:rsidR="00A21A4D" w:rsidRPr="00A21A4D" w:rsidRDefault="00A21A4D" w:rsidP="00A21A4D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21A4D">
        <w:rPr>
          <w:rFonts w:ascii="Times New Roman" w:hAnsi="Times New Roman" w:cs="Times New Roman"/>
          <w:sz w:val="24"/>
          <w:szCs w:val="24"/>
        </w:rPr>
        <w:t>О результатах мониторинга наркоситуации в городе Глазове по итогам 2024 года на основе данных мониторинга наркоситуации в Удмуртской Республике и Доклада о наркоситуации в 2024 году.</w:t>
      </w:r>
    </w:p>
    <w:p w:rsidR="00A21A4D" w:rsidRPr="00A21A4D" w:rsidRDefault="00A21A4D" w:rsidP="00A21A4D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21A4D">
        <w:rPr>
          <w:rFonts w:ascii="Times New Roman" w:hAnsi="Times New Roman" w:cs="Times New Roman"/>
          <w:sz w:val="24"/>
          <w:szCs w:val="24"/>
        </w:rPr>
        <w:t>О принятии дополнительных мер по предупреждению совершения несовершеннолетними, в том числе состоящими на профилактических учетах, правонарушений в сфере незаконного оборота наркотических средств.</w:t>
      </w:r>
    </w:p>
    <w:p w:rsidR="00A21A4D" w:rsidRDefault="00A21A4D" w:rsidP="00A21A4D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21A4D">
        <w:rPr>
          <w:rFonts w:ascii="Times New Roman" w:hAnsi="Times New Roman" w:cs="Times New Roman"/>
          <w:sz w:val="24"/>
          <w:szCs w:val="24"/>
        </w:rPr>
        <w:t xml:space="preserve"> Об анализе фактов по незаконному обороту наркотических веществ с участием студентов ГИПУ и ГАПТ   и мерах по усилению профилактики потребления и незаконного распространения наркотических веществ.</w:t>
      </w:r>
    </w:p>
    <w:p w:rsidR="00A1572D" w:rsidRPr="00A21A4D" w:rsidRDefault="00A1572D" w:rsidP="00A21A4D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 динамике распространения социально значимых инфекционных заболеваний, сопутствующих наркопотреблению и повышении эффективности мероприятий по их профилактике.</w:t>
      </w:r>
    </w:p>
    <w:p w:rsidR="00A21A4D" w:rsidRPr="00A21A4D" w:rsidRDefault="00794729" w:rsidP="00A21A4D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1A4D">
        <w:rPr>
          <w:rFonts w:ascii="Times New Roman" w:hAnsi="Times New Roman" w:cs="Times New Roman"/>
          <w:sz w:val="24"/>
          <w:szCs w:val="24"/>
        </w:rPr>
        <w:t>.</w:t>
      </w:r>
      <w:r w:rsidR="00A21A4D" w:rsidRPr="00A21A4D">
        <w:rPr>
          <w:rFonts w:ascii="Times New Roman" w:hAnsi="Times New Roman" w:cs="Times New Roman"/>
          <w:sz w:val="24"/>
          <w:szCs w:val="24"/>
        </w:rPr>
        <w:t xml:space="preserve"> О контроле исполнения решений республиканской антинаркотической комиссии.</w:t>
      </w:r>
    </w:p>
    <w:p w:rsidR="0098145E" w:rsidRPr="00A21A4D" w:rsidRDefault="00794729" w:rsidP="00A21A4D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1A4D">
        <w:rPr>
          <w:rFonts w:ascii="Times New Roman" w:hAnsi="Times New Roman" w:cs="Times New Roman"/>
          <w:sz w:val="24"/>
          <w:szCs w:val="24"/>
        </w:rPr>
        <w:t>.</w:t>
      </w:r>
      <w:r w:rsidR="00A21A4D" w:rsidRPr="00A21A4D">
        <w:rPr>
          <w:rFonts w:ascii="Times New Roman" w:hAnsi="Times New Roman" w:cs="Times New Roman"/>
          <w:sz w:val="24"/>
          <w:szCs w:val="24"/>
        </w:rPr>
        <w:t xml:space="preserve"> Об исполнении решений муниципальной антинаркотической комиссии.</w:t>
      </w:r>
    </w:p>
    <w:p w:rsidR="0098145E" w:rsidRPr="006E529F" w:rsidRDefault="0098145E" w:rsidP="00A3751C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145E" w:rsidRPr="00467E1C" w:rsidRDefault="0098145E" w:rsidP="0098145E">
      <w:pPr>
        <w:rPr>
          <w:rFonts w:ascii="Times New Roman" w:hAnsi="Times New Roman" w:cs="Times New Roman"/>
          <w:b/>
          <w:sz w:val="24"/>
          <w:szCs w:val="24"/>
        </w:rPr>
      </w:pPr>
      <w:r w:rsidRPr="00467E1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A21A4D" w:rsidRPr="00A21A4D">
        <w:rPr>
          <w:rFonts w:ascii="Times New Roman" w:hAnsi="Times New Roman" w:cs="Times New Roman"/>
          <w:b/>
          <w:sz w:val="24"/>
          <w:szCs w:val="24"/>
        </w:rPr>
        <w:t>О результатах мониторинга наркоситуации в городе Глазове по итогам 2024 года на основе данных мониторинга наркоситуации в Удмуртской Республике и Доклада о наркоситуации в 2024 году.</w:t>
      </w:r>
    </w:p>
    <w:p w:rsidR="00DC31BB" w:rsidRDefault="00DC31BB" w:rsidP="00281E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Станкевич О.В.</w:t>
      </w:r>
      <w:r w:rsidR="0022342C">
        <w:rPr>
          <w:rFonts w:ascii="Times New Roman" w:hAnsi="Times New Roman" w:cs="Times New Roman"/>
          <w:sz w:val="24"/>
          <w:szCs w:val="24"/>
        </w:rPr>
        <w:t xml:space="preserve">, </w:t>
      </w:r>
      <w:r w:rsidR="0022342C" w:rsidRPr="0022342C">
        <w:rPr>
          <w:rFonts w:ascii="Times New Roman" w:hAnsi="Times New Roman" w:cs="Times New Roman"/>
          <w:sz w:val="24"/>
          <w:szCs w:val="24"/>
        </w:rPr>
        <w:t>заместитель Главы Администрации по социальной политике, заместитель председателя комиссии</w:t>
      </w:r>
    </w:p>
    <w:p w:rsidR="00281EF0" w:rsidRDefault="00281EF0" w:rsidP="00281EF0">
      <w:pPr>
        <w:contextualSpacing/>
        <w:rPr>
          <w:rFonts w:ascii="Times New Roman" w:hAnsi="Times New Roman" w:cs="Times New Roman"/>
          <w:sz w:val="24"/>
          <w:szCs w:val="24"/>
        </w:rPr>
      </w:pPr>
      <w:r w:rsidRPr="00281EF0">
        <w:rPr>
          <w:rFonts w:ascii="Times New Roman" w:hAnsi="Times New Roman" w:cs="Times New Roman"/>
          <w:sz w:val="24"/>
          <w:szCs w:val="24"/>
        </w:rPr>
        <w:t>Корепанов Е</w:t>
      </w:r>
      <w:r w:rsidR="00372533">
        <w:rPr>
          <w:rFonts w:ascii="Times New Roman" w:hAnsi="Times New Roman" w:cs="Times New Roman"/>
          <w:sz w:val="24"/>
          <w:szCs w:val="24"/>
        </w:rPr>
        <w:t>.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 w:rsidRPr="00281EF0">
        <w:rPr>
          <w:rFonts w:ascii="Times New Roman" w:hAnsi="Times New Roman" w:cs="Times New Roman"/>
          <w:sz w:val="24"/>
          <w:szCs w:val="24"/>
        </w:rPr>
        <w:t>С., заместитель начальника полиции МО МВД России «Глазовский»</w:t>
      </w:r>
    </w:p>
    <w:p w:rsidR="00281EF0" w:rsidRDefault="00281EF0" w:rsidP="00281EF0">
      <w:pPr>
        <w:contextualSpacing/>
        <w:rPr>
          <w:rFonts w:ascii="Times New Roman" w:hAnsi="Times New Roman" w:cs="Times New Roman"/>
          <w:sz w:val="24"/>
          <w:szCs w:val="24"/>
        </w:rPr>
      </w:pPr>
      <w:r w:rsidRPr="00281EF0">
        <w:rPr>
          <w:rFonts w:ascii="Times New Roman" w:hAnsi="Times New Roman" w:cs="Times New Roman"/>
          <w:sz w:val="24"/>
          <w:szCs w:val="24"/>
        </w:rPr>
        <w:t>Блинов А</w:t>
      </w:r>
      <w:r w:rsidR="00372533">
        <w:rPr>
          <w:rFonts w:ascii="Times New Roman" w:hAnsi="Times New Roman" w:cs="Times New Roman"/>
          <w:sz w:val="24"/>
          <w:szCs w:val="24"/>
        </w:rPr>
        <w:t>.А.</w:t>
      </w:r>
      <w:r w:rsidRPr="00281EF0">
        <w:rPr>
          <w:rFonts w:ascii="Times New Roman" w:hAnsi="Times New Roman" w:cs="Times New Roman"/>
          <w:sz w:val="24"/>
          <w:szCs w:val="24"/>
        </w:rPr>
        <w:t>, заместитель главного врача по медицинской части обособленного подразделения БУЗ УР «РКЦПЗ МЗ УР» г. Глазова</w:t>
      </w:r>
    </w:p>
    <w:p w:rsidR="00A21A4D" w:rsidRDefault="00281EF0" w:rsidP="00A21A4D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Calibri" w:eastAsia="Calibri" w:hAnsi="Calibri" w:cs="Times New Roman"/>
          <w:b/>
          <w:lang w:eastAsia="en-US"/>
        </w:rPr>
        <w:t xml:space="preserve">            </w:t>
      </w: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Оценка состояния наркоситуации в Удмуртской Республике и в её муниципальных образованиях осуществлялась в соответствии с методикой, предложенной Государственным антинаркотическим комитетом (далее – Методика ГАК).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Согласно указанной методике, оценка развития наркоситуации в субъекте Российской Федерации (по муниципальным образованиям и в целом) осуществляется по 4 последовательным критериям: «Нейтральная», «Напряжённая», «Предкризисная», «Кризисная».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Критерии оценки развития наркоситуации при проведении мониторинга определяются по следующим оценочным показателям наркоситуации: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ОП1. Вовлеченность населения в незаконный оборот наркотиков;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ОП2. Уровень вовлеченности несовершеннолетних в незаконный оборот наркотиков;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ОП3. Криминогенность наркомании;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ОП4 Уровень криминогенности наркомании среди несовершеннолетних;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ОП5 Доступность наркотиков и ОП6 Оценочная распространенность употребления наркотиков (оцениваются только на федеральном уровне);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ОП7. Уровень первичной заболеваемости наркологическими расстройствами, связанными с употреблением наркотиков;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ОП8. Количество отравлений наркотиками;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ОП9. Количество отравлений наркотиками среди несовершеннолетних;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ОП10.Количество смертельных отравлений наркотиками.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Оценочный показатель (ОП) определяется на основании расчета статистического показателя с учетом его минимального и максимального значений.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 основании оценочных показателей предварительная оценка наркоситуации в Удмуртской Республике определяется как «нейтральная».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Наиболее «напряжённая» ситуация складывается в параметрах «Вовлеченность населения в незаконный оборот наркотиков», «Криминогенность наркомании» и «Уровень первичной заболеваемости наркологическими расстройствами, связанными с употреблением наркотиков».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При этом высокий уровень «Вовлеченности населения в незаконный оборот наркотиков» отмечен в 17 муниципальных образованиях, что свидетельствует о значительном числе лиц, совершивших преступления и правонарушения в сфере незаконного оборота наркотиков (приложение 39). Из них «кризисная» ситуация сложилась в городе Ижевск.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Оценка «Криминогенность наркомании» превысила «нейтральный» показатель в 13 муниципальных образованиях (приложение 41), что свидетельствует о доли участия наркопотребителей в административных правонарушениях, связанных с потреблением наркотиков и в общеуголовных преступлениях.  В том числе «кризисная» ситуация по данному показателю зафиксирована также в городе Ижевск.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«Уровень первичной заболеваемости наркологическими расстройствами, связанными с потреблением наркотиков» (приложение 43) оценивается как «напряжённая» в 12 муниципальных образованиях.  При этом «Кризисная» ситуация отмечена в 2 муниципальных образованиях: город Ижевск и Алнашский район, в 4 муниципалитетах «Предкризисная» - города Воткинск и Глазов, Воткинский и Ярский районы.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Несмотря на то, что остальные оценочные показатели по Удмуртской Республике в целом оценены как «нейтральные», в каждом оценочном показателе есть кризисные, предкризисные, напряжённые значения.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Так, «Уровень вовлеченности несовершеннолетних в незаконный оборот наркотиков» (приложение 40) имеет общую оценку «нейтральная», но в Глазове оценивается, как «кризисная», а в Сарапульском и Увинском районах «предкризисная».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Общая оценка показателя «Количество отравлений наркотиками» (приложение 44) - «нейтральная», но вместе с тем «предкризисная» оценка сложилась Балезинском районе. «Кризисная» ситуация сложилась в Ижевске, кроме того в столице республики «кризисная» ситуация отмечена количеством отравлений среди несовершеннолетних.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Аналогично выглядит ситуация по показателю «Количество смертельных отравлений наркотиками», где в целом республика оценивается «нейтрально», но в Ижевске и в Балезинском районе - «кризисная» 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Итоговая оценка наркоситуации в Российской Федерации в целом и в каждом субъекте определяется только на федеральном уровне Государственным антинаркотическим комитетом. На региональном уровне на основании оценочных показателей определяется предварительная оценка наркоситуации.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В Удмуртской Республике в целом наркоситуация предварительно оценивается «нейтрально».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оценки наркоситуации не только в республике в целом, но и в каждом из её муниципальных образований, проведен расчёт показателей наркоситуации в городах и районах Удмуртской Республики. 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По итогам предварительного мониторинга наркоситуации на территории Удмуртской Республики наибольшего внимания заслуживает «кризисная» общая оценка наркоситуации в г. Ижевске в связи с шестью (АППГ-4) кризисными оценками параметров из 8 оцениваемых показателей, а также «предкризисная» общая оценка наркоситуации в г. Глазове с двумя кризисными параметрами.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Кроме того, наркоситуация оценивается как «напряжённая» в городах Воткинск и Сарапул, а также в Сарапульском, Балезинском, Увинском районах.</w:t>
      </w:r>
    </w:p>
    <w:p w:rsidR="004A5830" w:rsidRPr="004A5830" w:rsidRDefault="004A5830" w:rsidP="004A583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Справочно: нет данных по оценке всех параметров, приложения к мониторингу не рассылаются и не публикуются. Не можем точно сказать оценку по каждому из параметров.</w:t>
      </w:r>
    </w:p>
    <w:p w:rsidR="004A5830" w:rsidRPr="004A5830" w:rsidRDefault="004A5830" w:rsidP="004A5830">
      <w:pPr>
        <w:numPr>
          <w:ilvl w:val="1"/>
          <w:numId w:val="35"/>
        </w:numPr>
        <w:ind w:left="0" w:firstLine="632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 обособленного подразделения (наркология).</w:t>
      </w:r>
    </w:p>
    <w:p w:rsidR="004A5830" w:rsidRPr="004A5830" w:rsidRDefault="004A5830" w:rsidP="004A5830">
      <w:pPr>
        <w:ind w:left="632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2024 год</w:t>
      </w:r>
    </w:p>
    <w:tbl>
      <w:tblPr>
        <w:tblStyle w:val="ac"/>
        <w:tblW w:w="11006" w:type="dxa"/>
        <w:tblInd w:w="-714" w:type="dxa"/>
        <w:tblLook w:val="04A0" w:firstRow="1" w:lastRow="0" w:firstColumn="1" w:lastColumn="0" w:noHBand="0" w:noVBand="1"/>
      </w:tblPr>
      <w:tblGrid>
        <w:gridCol w:w="987"/>
        <w:gridCol w:w="1719"/>
        <w:gridCol w:w="1466"/>
        <w:gridCol w:w="2202"/>
        <w:gridCol w:w="1466"/>
        <w:gridCol w:w="1700"/>
        <w:gridCol w:w="1466"/>
      </w:tblGrid>
      <w:tr w:rsidR="004A5830" w:rsidRPr="004A5830" w:rsidTr="004A5830">
        <w:tc>
          <w:tcPr>
            <w:tcW w:w="987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19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Лица с диагнозом «Наркомания»</w:t>
            </w:r>
          </w:p>
        </w:tc>
        <w:tc>
          <w:tcPr>
            <w:tcW w:w="1466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впервые выявленные</w:t>
            </w:r>
          </w:p>
        </w:tc>
        <w:tc>
          <w:tcPr>
            <w:tcW w:w="2202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Лица, злоупотребляющие наркотическими средствами</w:t>
            </w:r>
          </w:p>
        </w:tc>
        <w:tc>
          <w:tcPr>
            <w:tcW w:w="1466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впервые выявленные</w:t>
            </w:r>
          </w:p>
        </w:tc>
        <w:tc>
          <w:tcPr>
            <w:tcW w:w="1700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Лица с диагнозом «Алкоголизм»</w:t>
            </w:r>
          </w:p>
        </w:tc>
        <w:tc>
          <w:tcPr>
            <w:tcW w:w="1466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впервые выявленные</w:t>
            </w:r>
          </w:p>
        </w:tc>
      </w:tr>
      <w:tr w:rsidR="004A5830" w:rsidRPr="004A5830" w:rsidTr="004A5830">
        <w:tc>
          <w:tcPr>
            <w:tcW w:w="987" w:type="dxa"/>
            <w:hideMark/>
          </w:tcPr>
          <w:p w:rsidR="004A5830" w:rsidRPr="004A5830" w:rsidRDefault="004A5830" w:rsidP="004A5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19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66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6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466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4A5830" w:rsidRPr="004A5830" w:rsidTr="004A5830">
        <w:tc>
          <w:tcPr>
            <w:tcW w:w="987" w:type="dxa"/>
            <w:hideMark/>
          </w:tcPr>
          <w:p w:rsidR="004A5830" w:rsidRPr="004A5830" w:rsidRDefault="004A5830" w:rsidP="004A5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19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66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2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66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466" w:type="dxa"/>
            <w:hideMark/>
          </w:tcPr>
          <w:p w:rsidR="004A5830" w:rsidRPr="004A5830" w:rsidRDefault="004A5830" w:rsidP="004A58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4A5830" w:rsidRPr="004A5830" w:rsidRDefault="004A5830" w:rsidP="004A5830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5830" w:rsidRPr="004A5830" w:rsidRDefault="004A5830" w:rsidP="004A58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58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Число детей (0-17 лет), зарегистрированных с диагнозом «наркомания»,  «потребление наркотических средств с вредными последствиями»</w:t>
      </w:r>
    </w:p>
    <w:p w:rsidR="004A5830" w:rsidRPr="004A5830" w:rsidRDefault="004A5830" w:rsidP="004A58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17"/>
        <w:gridCol w:w="921"/>
        <w:gridCol w:w="921"/>
        <w:gridCol w:w="921"/>
        <w:gridCol w:w="922"/>
        <w:gridCol w:w="921"/>
        <w:gridCol w:w="922"/>
        <w:gridCol w:w="921"/>
        <w:gridCol w:w="675"/>
      </w:tblGrid>
      <w:tr w:rsidR="004A5830" w:rsidRPr="004A5830" w:rsidTr="00A1572D">
        <w:trPr>
          <w:cantSplit/>
          <w:trHeight w:val="185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наркомания</w:t>
            </w:r>
          </w:p>
        </w:tc>
        <w:tc>
          <w:tcPr>
            <w:tcW w:w="3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пагубное потребление наркотиков</w:t>
            </w:r>
          </w:p>
        </w:tc>
      </w:tr>
      <w:tr w:rsidR="004A5830" w:rsidRPr="004A5830" w:rsidTr="00A1572D">
        <w:trPr>
          <w:cantSplit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2023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2023</w:t>
            </w:r>
          </w:p>
        </w:tc>
      </w:tr>
      <w:tr w:rsidR="004A5830" w:rsidRPr="004A5830" w:rsidTr="00A1572D">
        <w:trPr>
          <w:cantSplit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абсол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абсол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абсол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абсол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относ</w:t>
            </w:r>
          </w:p>
        </w:tc>
      </w:tr>
      <w:tr w:rsidR="004A5830" w:rsidRPr="004A5830" w:rsidTr="00A1572D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Глазов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zh-CN" w:bidi="en-US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zh-CN" w:bidi="en-US"/>
              </w:rPr>
              <w:t>40,1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zh-CN" w:bidi="en-US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zh-CN" w:bidi="en-US"/>
              </w:rPr>
              <w:t>11,2</w:t>
            </w:r>
          </w:p>
        </w:tc>
      </w:tr>
      <w:tr w:rsidR="004A5830" w:rsidRPr="004A5830" w:rsidTr="00A1572D">
        <w:trPr>
          <w:trHeight w:val="43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zh-CN" w:bidi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zh-CN" w:bidi="en-US"/>
              </w:rPr>
              <w:t>2,8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zh-CN" w:bidi="en-US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zh-CN" w:bidi="en-US"/>
              </w:rPr>
              <w:t>2,5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zh-CN" w:bidi="en-US"/>
              </w:rPr>
              <w:t>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zh-CN" w:bidi="en-US"/>
              </w:rPr>
              <w:t>15,6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zh-CN" w:bidi="en-US"/>
              </w:rPr>
              <w:t>43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30" w:rsidRPr="004A5830" w:rsidRDefault="004A5830" w:rsidP="004A5830">
            <w:pPr>
              <w:widowControl w:val="0"/>
              <w:tabs>
                <w:tab w:val="left" w:pos="283"/>
                <w:tab w:val="left" w:pos="425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zh-CN" w:bidi="en-US"/>
              </w:rPr>
              <w:t>13,2</w:t>
            </w:r>
          </w:p>
        </w:tc>
      </w:tr>
    </w:tbl>
    <w:p w:rsidR="004A5830" w:rsidRPr="004A5830" w:rsidRDefault="004A5830" w:rsidP="004A5830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5830" w:rsidRPr="004A5830" w:rsidRDefault="004A5830" w:rsidP="004A5830">
      <w:pPr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информация:</w:t>
      </w:r>
    </w:p>
    <w:p w:rsidR="004A5830" w:rsidRPr="004A5830" w:rsidRDefault="004A5830" w:rsidP="004A5830">
      <w:pPr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Впервые зарегистрированы  в связи с пагубным употреблением наркотиков 337 жителей Удмуртской республики, отмечается рост  данного показателя в городе Глазове  </w:t>
      </w: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+52,2% </w:t>
      </w: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(15 чел.) , в связи с чем по показателю  «Уровень первичной заболеваемости наркологическими расстройствами, связанными с потреблением наркотиков» ситуация оценивается как </w:t>
      </w: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«Предкризисная» .</w:t>
      </w:r>
    </w:p>
    <w:p w:rsidR="004A5830" w:rsidRPr="004A5830" w:rsidRDefault="004A5830" w:rsidP="004A5830">
      <w:pPr>
        <w:ind w:left="-284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1.2.От полиции.</w:t>
      </w:r>
    </w:p>
    <w:p w:rsidR="004A5830" w:rsidRPr="004A5830" w:rsidRDefault="004A5830" w:rsidP="004A5830">
      <w:pPr>
        <w:ind w:left="-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По итогам работы ОКОН МО МВД России «Глазовский» за </w:t>
      </w: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12 месяцев 2024 года </w:t>
      </w: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выявлено 52 преступления в сфере НОН, из них 41 относится к категории тяжких и особо тяжких, из них 29 преступлений связано со сбытом наркотиков. За совершение преступлений, связанных с незаконным оборотом наркотиков задержано 27 лиц, из них 19 лиц за совершение тяжких и особо тяжких преступлений. Возбуждено 51 уголовное дело, из них тяжких и особо тяжких 37 преступлений. ч.1 ст. 228 УК РФ – 13 уголовных дел, ч.2 ст.228 УК РФ – 10 уголовных дел, ч.1 ст. 228.1 УК РФ – 6 уголовных дел, ч.2 ст. 231 УК РФ – 1 уголовное дело.</w:t>
      </w:r>
    </w:p>
    <w:p w:rsidR="004A5830" w:rsidRPr="004A5830" w:rsidRDefault="004A5830" w:rsidP="004A5830">
      <w:pPr>
        <w:ind w:left="-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Из незаконного оборота изъято: «Мефедрон» - 3,44 грамма , «Эфедрон» - 6,7 грамм, «соль РУР» - 58,6 грамм, «гашиш» - 33,93 грамма, «марихуана» - 229,32 грамма, «МДМА экстази» - 2,94 грамма, «амфетамин» - 1,86 грамма, «метамфетамин» - 0,37 грамм, «метадон» - 0,83 грамма.</w:t>
      </w:r>
    </w:p>
    <w:p w:rsidR="004A5830" w:rsidRPr="004A5830" w:rsidRDefault="004A5830" w:rsidP="004A5830">
      <w:pPr>
        <w:ind w:left="-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В ходе сверки согласно списку граждан, прошедших медицинское освидетельствование за 12 месяцев 2024 года, медицинское освидетельствование прошли 14 граждан, у 8 в биологической среде согласно справки ХТИ были обнаружены следы распада наркотических средств пирролидиноваоерофенон, тетрагидроканнабинол, фенобарбитал. Выделены рапорта обнаружения признаков преступления и правонарушения по ст. 228.1 УК РФ и ст. 6.9 КоАП РФ.</w:t>
      </w:r>
    </w:p>
    <w:p w:rsidR="004A5830" w:rsidRPr="004A5830" w:rsidRDefault="004A5830" w:rsidP="004A5830">
      <w:pPr>
        <w:ind w:left="-774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4A5830" w:rsidRPr="004A5830" w:rsidRDefault="004A5830" w:rsidP="004A5830">
      <w:pPr>
        <w:ind w:left="-774" w:firstLine="348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Текущий период  2025 года.</w:t>
      </w:r>
    </w:p>
    <w:tbl>
      <w:tblPr>
        <w:tblStyle w:val="ac"/>
        <w:tblW w:w="10660" w:type="dxa"/>
        <w:tblInd w:w="-431" w:type="dxa"/>
        <w:tblLook w:val="04A0" w:firstRow="1" w:lastRow="0" w:firstColumn="1" w:lastColumn="0" w:noHBand="0" w:noVBand="1"/>
      </w:tblPr>
      <w:tblGrid>
        <w:gridCol w:w="1430"/>
        <w:gridCol w:w="2065"/>
        <w:gridCol w:w="1606"/>
        <w:gridCol w:w="1943"/>
        <w:gridCol w:w="2144"/>
        <w:gridCol w:w="1472"/>
      </w:tblGrid>
      <w:tr w:rsidR="004A5830" w:rsidRPr="004A5830" w:rsidTr="00A1572D">
        <w:tc>
          <w:tcPr>
            <w:tcW w:w="1472" w:type="dxa"/>
          </w:tcPr>
          <w:p w:rsidR="004A5830" w:rsidRPr="004A5830" w:rsidRDefault="004A5830" w:rsidP="004A5830">
            <w:pPr>
              <w:ind w:left="43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41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Зарегистрировано уголовных дел</w:t>
            </w:r>
          </w:p>
        </w:tc>
        <w:tc>
          <w:tcPr>
            <w:tcW w:w="1533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Расследовано</w:t>
            </w:r>
          </w:p>
        </w:tc>
        <w:tc>
          <w:tcPr>
            <w:tcW w:w="2106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Привлечено к уголовной ответственности</w:t>
            </w:r>
          </w:p>
        </w:tc>
        <w:tc>
          <w:tcPr>
            <w:tcW w:w="1684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Привлечено к административной ответственности</w:t>
            </w:r>
          </w:p>
        </w:tc>
        <w:tc>
          <w:tcPr>
            <w:tcW w:w="1924" w:type="dxa"/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Изъято из оборота</w:t>
            </w:r>
          </w:p>
        </w:tc>
      </w:tr>
      <w:tr w:rsidR="004A5830" w:rsidRPr="004A5830" w:rsidTr="00A1572D">
        <w:tc>
          <w:tcPr>
            <w:tcW w:w="1472" w:type="dxa"/>
          </w:tcPr>
          <w:p w:rsidR="004A5830" w:rsidRPr="004A5830" w:rsidRDefault="004A5830" w:rsidP="004A5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</w:t>
            </w:r>
          </w:p>
          <w:p w:rsidR="004A5830" w:rsidRPr="004A5830" w:rsidRDefault="004A5830" w:rsidP="004A5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20 гр. наркотиков</w:t>
            </w:r>
          </w:p>
        </w:tc>
      </w:tr>
      <w:tr w:rsidR="004A5830" w:rsidRPr="004A5830" w:rsidTr="00A1572D">
        <w:tc>
          <w:tcPr>
            <w:tcW w:w="1472" w:type="dxa"/>
          </w:tcPr>
          <w:p w:rsidR="004A5830" w:rsidRPr="004A5830" w:rsidRDefault="004A5830" w:rsidP="004A5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  <w:p w:rsidR="004A5830" w:rsidRPr="004A5830" w:rsidRDefault="004A5830" w:rsidP="004A5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30" w:rsidRPr="004A5830" w:rsidRDefault="004A5830" w:rsidP="004A583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21,9 гр. наркотиков</w:t>
            </w:r>
          </w:p>
        </w:tc>
      </w:tr>
    </w:tbl>
    <w:p w:rsidR="004A5830" w:rsidRPr="004A5830" w:rsidRDefault="004A5830" w:rsidP="004A5830">
      <w:pPr>
        <w:ind w:left="-774"/>
        <w:contextualSpacing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5830" w:rsidRPr="004A5830" w:rsidRDefault="004A5830" w:rsidP="004A5830">
      <w:pPr>
        <w:contextualSpacing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A5830" w:rsidRPr="004A5830" w:rsidRDefault="004A5830" w:rsidP="004A5830">
      <w:pPr>
        <w:ind w:left="-284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Уровень вовлеченности несовершеннолетних в незаконный оборот наркотиков»</w:t>
      </w: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имеет общую оценку «нейтральная», </w:t>
      </w: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 в Глазове оценивается, как «кризисная».</w:t>
      </w:r>
    </w:p>
    <w:p w:rsidR="004A5830" w:rsidRPr="004A5830" w:rsidRDefault="004A5830" w:rsidP="004A5830">
      <w:pPr>
        <w:ind w:left="-774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830" w:rsidRDefault="004A5830" w:rsidP="00281EF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81EF0" w:rsidRDefault="00DC31BB" w:rsidP="00281EF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DC31BB" w:rsidRPr="00467E1C" w:rsidRDefault="00DC31BB" w:rsidP="00DC31BB">
      <w:pPr>
        <w:pStyle w:val="ab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467E1C">
        <w:rPr>
          <w:rFonts w:ascii="Times New Roman" w:hAnsi="Times New Roman" w:cs="Times New Roman"/>
          <w:bCs/>
          <w:sz w:val="24"/>
          <w:szCs w:val="24"/>
        </w:rPr>
        <w:t xml:space="preserve">Информацию принять к сведению. </w:t>
      </w:r>
    </w:p>
    <w:p w:rsidR="00DC31BB" w:rsidRDefault="00DC31BB" w:rsidP="0022342C">
      <w:pPr>
        <w:pStyle w:val="ab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467E1C">
        <w:rPr>
          <w:rFonts w:ascii="Times New Roman" w:hAnsi="Times New Roman" w:cs="Times New Roman"/>
          <w:bCs/>
          <w:sz w:val="24"/>
          <w:szCs w:val="24"/>
        </w:rPr>
        <w:t>В соответст</w:t>
      </w:r>
      <w:r w:rsidR="004A5830">
        <w:rPr>
          <w:rFonts w:ascii="Times New Roman" w:hAnsi="Times New Roman" w:cs="Times New Roman"/>
          <w:bCs/>
          <w:sz w:val="24"/>
          <w:szCs w:val="24"/>
        </w:rPr>
        <w:t>вии с Дорожной картой УР на 2025</w:t>
      </w:r>
      <w:r w:rsidRPr="00467E1C">
        <w:rPr>
          <w:rFonts w:ascii="Times New Roman" w:hAnsi="Times New Roman" w:cs="Times New Roman"/>
          <w:bCs/>
          <w:sz w:val="24"/>
          <w:szCs w:val="24"/>
        </w:rPr>
        <w:t xml:space="preserve"> год по исполнению межведомственного комплексного плана по реализации Стратегии государственной антинаркотической политики Российской Федерации на период до 2030 года 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2342C">
        <w:rPr>
          <w:rFonts w:ascii="Times New Roman" w:hAnsi="Times New Roman" w:cs="Times New Roman"/>
          <w:bCs/>
          <w:sz w:val="24"/>
          <w:szCs w:val="24"/>
        </w:rPr>
        <w:t>на территории Удмуртской Республики осуществлять ежеквартально анализ наркоситуации на территории города Глазова с анализом эффективности проводимых мероприятий.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Отв.- О.В.Станкевич </w:t>
      </w:r>
    </w:p>
    <w:p w:rsidR="00383924" w:rsidRDefault="00383924" w:rsidP="0022342C">
      <w:pPr>
        <w:pStyle w:val="ab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Актуализировать муниципальные нормативные документы антинаркотической направленности в соответствии с данными мониторинга. Срок – до 01.06.2025, отв. Касимова Е.Л.</w:t>
      </w:r>
    </w:p>
    <w:p w:rsidR="00383924" w:rsidRPr="0022342C" w:rsidRDefault="00686AA6" w:rsidP="0022342C">
      <w:pPr>
        <w:pStyle w:val="ab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Использовать в работе Межведомственный стандарт антинаркотической профилактической деятельности, утвержденный протоколом  ГАК № 54 от 19.06.2024 года. Срок – постоянно. Отв. – члены муниципальной АНК. </w:t>
      </w:r>
    </w:p>
    <w:p w:rsidR="00467E1C" w:rsidRDefault="00467E1C" w:rsidP="00DC31BB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467E1C" w:rsidRDefault="00467E1C" w:rsidP="00467E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4A58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A5830" w:rsidRPr="004A5830">
        <w:rPr>
          <w:rFonts w:ascii="Times New Roman" w:hAnsi="Times New Roman" w:cs="Times New Roman"/>
          <w:b/>
          <w:bCs/>
          <w:sz w:val="24"/>
          <w:szCs w:val="24"/>
        </w:rPr>
        <w:t>О принятии дополнительных мер по предупреждению совершения несовершеннолетними, в том числе состоящими на профилактических учетах, правонарушений в сфере незаконного оборота наркотических средств.</w:t>
      </w:r>
    </w:p>
    <w:p w:rsidR="00467E1C" w:rsidRDefault="00467E1C" w:rsidP="00467E1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7E1C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4A5830">
        <w:rPr>
          <w:rFonts w:ascii="Times New Roman" w:hAnsi="Times New Roman" w:cs="Times New Roman"/>
          <w:bCs/>
          <w:sz w:val="24"/>
          <w:szCs w:val="24"/>
        </w:rPr>
        <w:t>иманова Е.В.. ответственного секретаря КПДН города Глазова.</w:t>
      </w:r>
    </w:p>
    <w:p w:rsidR="004A5830" w:rsidRDefault="0008252B" w:rsidP="00467E1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Глушкова Н.С., </w:t>
      </w:r>
      <w:r w:rsidR="003964B9" w:rsidRPr="003964B9">
        <w:rPr>
          <w:rFonts w:ascii="Times New Roman" w:hAnsi="Times New Roman" w:cs="Times New Roman"/>
          <w:bCs/>
          <w:sz w:val="24"/>
          <w:szCs w:val="24"/>
        </w:rPr>
        <w:t>ОДН МО МВД России «Глазовский»</w:t>
      </w:r>
    </w:p>
    <w:p w:rsidR="003964B9" w:rsidRDefault="003964B9" w:rsidP="00467E1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Обухова О.О., начальник управления образования Администрации города Глазова</w:t>
      </w:r>
    </w:p>
    <w:tbl>
      <w:tblPr>
        <w:tblStyle w:val="ac"/>
        <w:tblW w:w="10660" w:type="dxa"/>
        <w:tblInd w:w="-431" w:type="dxa"/>
        <w:tblLook w:val="04A0" w:firstRow="1" w:lastRow="0" w:firstColumn="1" w:lastColumn="0" w:noHBand="0" w:noVBand="1"/>
      </w:tblPr>
      <w:tblGrid>
        <w:gridCol w:w="1630"/>
        <w:gridCol w:w="2554"/>
        <w:gridCol w:w="2554"/>
        <w:gridCol w:w="1914"/>
        <w:gridCol w:w="2144"/>
      </w:tblGrid>
      <w:tr w:rsidR="004A5830" w:rsidRPr="004A5830" w:rsidTr="00A1572D">
        <w:trPr>
          <w:trHeight w:val="1610"/>
        </w:trPr>
        <w:tc>
          <w:tcPr>
            <w:tcW w:w="1764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46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преступлений, совершенных несовершеннолетними в сфере незаконного оборота наркотических средств</w:t>
            </w:r>
          </w:p>
        </w:tc>
        <w:tc>
          <w:tcPr>
            <w:tcW w:w="2015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правонарушений, совершенных несовершеннолетними в сфере незаконного оборота наркотических средств</w:t>
            </w:r>
          </w:p>
        </w:tc>
        <w:tc>
          <w:tcPr>
            <w:tcW w:w="2503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Привлечено к уголовной ответственности</w:t>
            </w:r>
          </w:p>
        </w:tc>
        <w:tc>
          <w:tcPr>
            <w:tcW w:w="2032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Привлечено к административной ответственности</w:t>
            </w:r>
          </w:p>
        </w:tc>
      </w:tr>
      <w:tr w:rsidR="004A5830" w:rsidRPr="004A5830" w:rsidTr="00A1572D">
        <w:tc>
          <w:tcPr>
            <w:tcW w:w="1764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Текущий период</w:t>
            </w:r>
          </w:p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32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A5830" w:rsidRPr="004A5830" w:rsidTr="00A1572D">
        <w:tc>
          <w:tcPr>
            <w:tcW w:w="1764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Аналогичный период предыдущего года</w:t>
            </w:r>
          </w:p>
        </w:tc>
        <w:tc>
          <w:tcPr>
            <w:tcW w:w="2346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4A5830" w:rsidRPr="004A5830" w:rsidRDefault="004A5830" w:rsidP="00A157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8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3964B9" w:rsidRDefault="0008252B" w:rsidP="0008252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</w:t>
      </w:r>
    </w:p>
    <w:p w:rsidR="004A5830" w:rsidRPr="004A5830" w:rsidRDefault="004A5830" w:rsidP="0008252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58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A5830">
        <w:rPr>
          <w:rFonts w:ascii="Times New Roman" w:eastAsia="Times New Roman" w:hAnsi="Times New Roman" w:cs="Times New Roman"/>
          <w:sz w:val="24"/>
          <w:szCs w:val="24"/>
        </w:rPr>
        <w:t>На территории Удмуртской Республики в 2024 году расследовано 51   преступление, связанное с незаконным оборотом наркотических средств, совершённых несовершеннолетними (2023 г. – 21, +142,8%). Преступления зарегистрированы по данным ИЦ МВД по УР в 11 территориальных ОВД, в том числе - отдел «Глазовский» – 4 (+100%, 2023 г. – 0).</w:t>
      </w:r>
    </w:p>
    <w:p w:rsidR="004A5830" w:rsidRPr="004A5830" w:rsidRDefault="004A5830" w:rsidP="004A583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12 месяцев 2024 года на рассмотрение КпДН и ЗП поступило всего 7 протоколов об административных правонарушениях, связанных с незаконным оборотом наркотических средств.</w:t>
      </w:r>
      <w:r w:rsidRPr="004A5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За 12 месяцев 2024 года проводилась межведомственная профилактическая работа с 5 несовершеннолетними, склонными к потреблению наркотических средств, из них 3 снято с учета в связи с достижением ими 18 лет, с 2 несовершеннолетними продолжена работа.  С 2 семьями, признанными находящимися в социально опасном положении (в которых дети склонны к потреблению наркотических средств), проводилась индивидуальная профилактическая и социально-реабилитационная работа.</w:t>
      </w:r>
    </w:p>
    <w:p w:rsidR="004A5830" w:rsidRDefault="004A5830" w:rsidP="00931224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За истекший период 2025 года на рассмотрение КпДН и ЗП протоколов об административных правонарушениях, связанных с незаконным оборотом наркотических средств, не поступало.</w:t>
      </w:r>
      <w:r w:rsidRPr="004A5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Проводится межведомственная профилактическая работа с 6 несовершеннолетними, склонными к потреблению наркотических средств, из них 1 снят с учета в связи с достижением 18 лет, с 5 несовершеннолетними продолжается работа.</w:t>
      </w:r>
      <w:r w:rsidRPr="004A5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830">
        <w:rPr>
          <w:rFonts w:ascii="Times New Roman" w:eastAsia="Calibri" w:hAnsi="Times New Roman" w:cs="Times New Roman"/>
          <w:sz w:val="24"/>
          <w:szCs w:val="24"/>
          <w:lang w:eastAsia="en-US"/>
        </w:rPr>
        <w:t>С 2 семьями, признанными находящимися в социально опасном положении (в которых дети склонны к потреблению наркотических средств), проводится индивидуальная профилактическая и социально-реабилитационная работа, из которых с  1 семьей прекращено проведение работы в связи с невозможностью дальнейшего ее продолжения (осуждение несовершеннолетнего к реальному лишению свободы)</w:t>
      </w:r>
      <w:r w:rsidR="0093122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осуществления контроля и координации деятельности в сфере профилактики наркомании и противодействия незаконному обороту наркотических средств и психотропных веществ в каждой общеобразовательной организации города Глазова созданы  наркопосты, всего 18 наркопостов. Деятельность наркопоста заключается в осуществлении комплекса мероприятий по первичной профилактике употребления ПАВ  и включает проведение профилактических мероприятий для обучающихся и их родителей по формированию здорового образа жизни.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В каждой школе работает программа воспитания (18 программ),  в которой прописаны меры профилактики против наркотиков: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- профилактические беседы с учащимися и родителями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- проведение спортивных мероприятий для пропаганды ЗОЖ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- конкурсы рисунков на тему ЗОЖ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- выставка статей, журналов, книг «Против наркомании»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- индивидуальные беседы по профилактике наркомании с учащимися, состоящими на различных видах учета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- подготовка и распространение специальных материалов антинаркотической направленности: буклеты, брошюры, памятки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досуга учащихся, вовлечение их в занятия спортом, кружковую работу.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каждой школе проходят встречи с представителями силовых структур, ОДН, где специалисты рассказывают учащимся о вреде наркотиков и о последствиях их употребления и распространения. 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Для обеспечения мероприятий по раннему выявлению незаконного потребления наркотических средств и психотропных веществ обучающимися ежегодно проводится Социально-психологическое тестирование (СПТ) для учащихся 7-9 классов. В 2024 г в СПТ приняли участие 3902 учащихся из всех общеобразовательных организаций города, из них у 100 человек выявлена высочайшая вероятность проявления рискового поведения. С такими учениками организуется углубленная диагностика, по результатам которой  выстраивается индивидуальная работа педагогов и родителей с этими детьми.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Также школы обеспечивают широкое распространение информационного контента, направленного на противодействие преступлениям и правонарушениям в сфере незаконного оборота наркотиков, профилактику потребления наркотических средств и психотропных веществ на официальных сайтах и социальных сетях учреждений. 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С 1по 15 октября 18 школ города Глазова приняли участие в городском конкурсе социальной рекламы «Котики против наркотиков».  Школьники подготовили свои рекламные материалы социального характера по теме антинаркотической направленности.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14 по 25 октября на территории Удмуртской Республики прошел II этап Общероссийской антинаркотической акции «Сообщи, где торгуют смертью!». Все 18 общеобразовательных организаций приняли участие в Акции и предоставили отчеты о проведенных мероприятиях. 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В ноябре 2024 г. 54 класса из 18 общеобразовательных организаций города приняли участие в социологическом исследовании в рамках мониторинга наркоситуации в Удмуртской Республике. Данная услуга оказывается для нужд Министерства здравоохранения УР и для «Республиканского наркологического диспансера Министерства здравоохранения Удмуртской Республики».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 2 по 6 октября 2024 г.  в школах города прошли Уроки здоровья для 5-7 классов по профилактике вейпинга, в которых приняли участие  3348 учащихся. Ученики узнали о негативном влиянии вейпинга на организм  человека и о ценности здорового образа жизни. 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С 13 по 19 марта 2025 г. во всех школах города проводится первый этап межведомственной комплексной оперативно-профилактической операции «Чистое поколение-2025» (далее МКОПО «Чистое поколение -2025»).  Цель мероприятия – предупреждение распространения наркомании среди несовершеннолетних и молодежи, выявление и пресечение фактов их вовлечения в противоправную деятельность, связанную с незаконным оборотом наркотических средств, психотропных веществ, а также повышение уровня осведомленности населения о последствиях потребления наркотиков и об ответственности за участие в их незаконном обороте. После окончания МКОПО «Чистое поколение -2025» все школы направят отчет о проведенных мероприятиях.</w:t>
      </w:r>
    </w:p>
    <w:p w:rsidR="003964B9" w:rsidRPr="003964B9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В марте и апреле 2025 г. в школах города планируется провести общешкольные родительские собрания (7-11 кл.) с приглашением представителей силовых структур с беседой «Профилактика правонарушений несовершеннолетних».</w:t>
      </w:r>
    </w:p>
    <w:p w:rsidR="00931224" w:rsidRPr="00931224" w:rsidRDefault="003964B9" w:rsidP="003964B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64B9">
        <w:rPr>
          <w:rFonts w:ascii="Times New Roman" w:eastAsia="Calibri" w:hAnsi="Times New Roman" w:cs="Times New Roman"/>
          <w:sz w:val="24"/>
          <w:szCs w:val="24"/>
          <w:lang w:eastAsia="en-US"/>
        </w:rPr>
        <w:t>Таким образом, можно сделать вывод, что ведущая роль в работе по формированию у обучающихся в потребности в ЗОЖ и воспитание здорового физически и нравственно молодого поколения принадлежит школе. Работа в общеобразовательных учреждениях города в этом направлении ведется удовлетворительно.</w:t>
      </w:r>
      <w:r w:rsidR="009312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67E1C" w:rsidRPr="00D730A2" w:rsidRDefault="00467E1C" w:rsidP="00467E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30A2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3964B9" w:rsidRPr="003964B9" w:rsidRDefault="003964B9" w:rsidP="003964B9">
      <w:pPr>
        <w:pStyle w:val="ab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3964B9">
        <w:rPr>
          <w:rFonts w:ascii="Times New Roman" w:hAnsi="Times New Roman" w:cs="Times New Roman"/>
          <w:bCs/>
          <w:sz w:val="24"/>
          <w:szCs w:val="24"/>
        </w:rPr>
        <w:t>Поручить КПДН рассмотреть на заседаниях комиссии ход профилактической работы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396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несовершеннолетними,  связанными</w:t>
      </w:r>
      <w:r w:rsidRPr="003964B9">
        <w:rPr>
          <w:rFonts w:ascii="Times New Roman" w:hAnsi="Times New Roman" w:cs="Times New Roman"/>
          <w:bCs/>
          <w:sz w:val="24"/>
          <w:szCs w:val="24"/>
        </w:rPr>
        <w:t xml:space="preserve"> с незаконным употреблением и распрос</w:t>
      </w:r>
      <w:r>
        <w:rPr>
          <w:rFonts w:ascii="Times New Roman" w:hAnsi="Times New Roman" w:cs="Times New Roman"/>
          <w:bCs/>
          <w:sz w:val="24"/>
          <w:szCs w:val="24"/>
        </w:rPr>
        <w:t>транением наркотических веществ., с участием всех субъектов профилактики. Срок –август-сентябрь 2025 года, отв. – Симанова Е.В.</w:t>
      </w:r>
    </w:p>
    <w:p w:rsidR="003964B9" w:rsidRPr="003964B9" w:rsidRDefault="00467E1C" w:rsidP="00A1572D">
      <w:pPr>
        <w:pStyle w:val="ab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 w:rsidRPr="003964B9">
        <w:rPr>
          <w:rFonts w:ascii="Times New Roman" w:hAnsi="Times New Roman" w:cs="Times New Roman"/>
          <w:bCs/>
          <w:sz w:val="24"/>
          <w:szCs w:val="24"/>
        </w:rPr>
        <w:t>Рассмотреть на заседании АНК</w:t>
      </w:r>
      <w:r w:rsidR="003964B9" w:rsidRPr="003964B9">
        <w:rPr>
          <w:rFonts w:ascii="Times New Roman" w:hAnsi="Times New Roman" w:cs="Times New Roman"/>
          <w:bCs/>
          <w:sz w:val="24"/>
          <w:szCs w:val="24"/>
        </w:rPr>
        <w:t xml:space="preserve"> вопрос об итогах рассмотрения на КПДН  персонального сопровождения всеми субъектами профилактики несовершеннолетних,  связанных с незаконным употреблением и распространением наркотических веществ </w:t>
      </w:r>
    </w:p>
    <w:p w:rsidR="00467E1C" w:rsidRDefault="003964B9" w:rsidP="003964B9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 – сентябрь 2025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года, отв. О.В. Станкевич</w:t>
      </w:r>
    </w:p>
    <w:p w:rsidR="003A6FF9" w:rsidRPr="003A6FF9" w:rsidRDefault="003A6FF9" w:rsidP="003A6FF9">
      <w:pPr>
        <w:pStyle w:val="ab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Активизировать работу по поиску наставников для несовершеннолетних указанной категории. Срок – до октября 2025 года, отв. Обухова О.О., Касимова Е.Л.</w:t>
      </w:r>
    </w:p>
    <w:p w:rsidR="00D730A2" w:rsidRDefault="00D730A2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</w:p>
    <w:p w:rsidR="00D730A2" w:rsidRDefault="00D730A2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</w:p>
    <w:p w:rsidR="00D730A2" w:rsidRDefault="00D730A2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</w:p>
    <w:p w:rsidR="00467E1C" w:rsidRDefault="00D730A2" w:rsidP="00D730A2">
      <w:pPr>
        <w:pStyle w:val="ab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730A2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730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A6FF9" w:rsidRPr="003A6FF9">
        <w:rPr>
          <w:rFonts w:ascii="Times New Roman" w:hAnsi="Times New Roman" w:cs="Times New Roman"/>
          <w:b/>
          <w:bCs/>
          <w:sz w:val="24"/>
          <w:szCs w:val="24"/>
        </w:rPr>
        <w:t>Об анализе фактов по незаконному обороту наркотических веществ с участием студентов ГИПУ и ГАПТ   и мерах по усилению профилактики потребления и незаконного распространения наркотических веществ.</w:t>
      </w:r>
    </w:p>
    <w:p w:rsidR="003A6FF9" w:rsidRPr="003A6FF9" w:rsidRDefault="003A6FF9" w:rsidP="003A6FF9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3A6FF9">
        <w:rPr>
          <w:rFonts w:ascii="Times New Roman" w:hAnsi="Times New Roman" w:cs="Times New Roman"/>
          <w:bCs/>
          <w:sz w:val="24"/>
          <w:szCs w:val="24"/>
        </w:rPr>
        <w:t>Касимова С.А., проректор по воспитательной работе ГИПУ</w:t>
      </w:r>
    </w:p>
    <w:p w:rsidR="003A6FF9" w:rsidRPr="003A6FF9" w:rsidRDefault="003A6FF9" w:rsidP="003A6FF9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3A6FF9">
        <w:rPr>
          <w:rFonts w:ascii="Times New Roman" w:hAnsi="Times New Roman" w:cs="Times New Roman"/>
          <w:bCs/>
          <w:sz w:val="24"/>
          <w:szCs w:val="24"/>
        </w:rPr>
        <w:t>Петров К.Н., помощник ректора ГИПУ</w:t>
      </w:r>
    </w:p>
    <w:p w:rsidR="003A6FF9" w:rsidRPr="003A6FF9" w:rsidRDefault="003A6FF9" w:rsidP="003A6FF9">
      <w:pPr>
        <w:pStyle w:val="ab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3A6FF9">
        <w:rPr>
          <w:rFonts w:ascii="Times New Roman" w:hAnsi="Times New Roman" w:cs="Times New Roman"/>
          <w:bCs/>
          <w:sz w:val="24"/>
          <w:szCs w:val="24"/>
        </w:rPr>
        <w:t xml:space="preserve">            Одинцов С.Г., директор ГАПТ</w:t>
      </w:r>
    </w:p>
    <w:p w:rsidR="007D4AE3" w:rsidRPr="008130BD" w:rsidRDefault="003A6FF9" w:rsidP="00D730A2">
      <w:pPr>
        <w:pStyle w:val="ab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Рассмотрена информация по эпизодам, связанным с участием в преступлениях, связанных с незаконным оборотом наркотических средств, студентов ГИПУ и ГАПТ, порзвучавшая на заседании региональной АНК.</w:t>
      </w:r>
    </w:p>
    <w:p w:rsidR="003A6FF9" w:rsidRDefault="003A6FF9" w:rsidP="00D730A2">
      <w:pPr>
        <w:pStyle w:val="ab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8130BD" w:rsidRDefault="008130BD" w:rsidP="00D730A2">
      <w:pPr>
        <w:pStyle w:val="ab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9A5A87" w:rsidRDefault="003A6FF9" w:rsidP="003A6FF9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3A6FF9" w:rsidRDefault="003A6FF9" w:rsidP="003A6FF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A6FF9" w:rsidRPr="003A6FF9" w:rsidRDefault="003A6FF9" w:rsidP="003A6FF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A6FF9" w:rsidRDefault="009808A8" w:rsidP="00980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F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8A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72D" w:rsidRPr="00A1572D">
        <w:rPr>
          <w:rFonts w:ascii="Times New Roman" w:hAnsi="Times New Roman" w:cs="Times New Roman"/>
          <w:b/>
          <w:sz w:val="24"/>
          <w:szCs w:val="24"/>
        </w:rPr>
        <w:t>О динамике распространения социально значимых инфекционных заболеваний, сопутствующих наркопотреблению и повышении эффективности мероприятий по их профилактике.</w:t>
      </w:r>
    </w:p>
    <w:p w:rsidR="00A1572D" w:rsidRPr="00A1572D" w:rsidRDefault="00A1572D" w:rsidP="009808A8">
      <w:pPr>
        <w:rPr>
          <w:rFonts w:ascii="Times New Roman" w:hAnsi="Times New Roman" w:cs="Times New Roman"/>
          <w:sz w:val="24"/>
          <w:szCs w:val="24"/>
        </w:rPr>
      </w:pPr>
      <w:r w:rsidRPr="00A1572D">
        <w:rPr>
          <w:rFonts w:ascii="Times New Roman" w:hAnsi="Times New Roman" w:cs="Times New Roman"/>
          <w:sz w:val="24"/>
          <w:szCs w:val="24"/>
        </w:rPr>
        <w:t xml:space="preserve">Обухова О.В., заведующая Глазовским зональным центром БУЗ УР «УРЦ СПИД и ИЗ»                                                       </w:t>
      </w:r>
    </w:p>
    <w:p w:rsidR="00A1572D" w:rsidRPr="00A1572D" w:rsidRDefault="00A1572D" w:rsidP="00A1572D">
      <w:pPr>
        <w:suppressAutoHyphens/>
        <w:spacing w:before="57" w:after="57"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 по состоянию на конец 2024г. (согласно Федеральному регистру больных ВИЧ) проживает  </w:t>
      </w:r>
      <w:r w:rsidRPr="00A1572D">
        <w:rPr>
          <w:rFonts w:ascii="Times New Roman" w:eastAsia="Times New Roman" w:hAnsi="Times New Roman" w:cs="Times New Roman"/>
          <w:b/>
          <w:sz w:val="24"/>
          <w:szCs w:val="24"/>
        </w:rPr>
        <w:t>870 979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ВИЧ-инфицированных граждан, </w:t>
      </w:r>
    </w:p>
    <w:p w:rsidR="00A1572D" w:rsidRPr="00A1572D" w:rsidRDefault="00A1572D" w:rsidP="00A1572D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</w:rPr>
        <w:t xml:space="preserve">      В Удмуртской Республике на 1 января 2025 года выявлено </w:t>
      </w:r>
      <w:r w:rsidRPr="00A1572D">
        <w:rPr>
          <w:rFonts w:ascii="Times New Roman" w:eastAsia="Calibri" w:hAnsi="Times New Roman" w:cs="Times New Roman"/>
          <w:b/>
          <w:bCs/>
          <w:sz w:val="24"/>
          <w:szCs w:val="24"/>
        </w:rPr>
        <w:t>13 988</w:t>
      </w:r>
      <w:r w:rsidRPr="00A1572D">
        <w:rPr>
          <w:rFonts w:ascii="Times New Roman" w:eastAsia="Calibri" w:hAnsi="Times New Roman" w:cs="Times New Roman"/>
          <w:sz w:val="24"/>
          <w:szCs w:val="24"/>
        </w:rPr>
        <w:t xml:space="preserve"> ВИЧ-инфицированных, из них: 13 272 подтвержденных случаев ВИЧ-инфекции среди жителей региона  и 716 - прибывших с других территорий (381 человек с других территорий РФ, 167 иностранных  граждан, граждан УР, выявленных на других территориях РФ - 168 человек), в том числе 126 детей в возрасте до 15 лет. Показатель пораженности на 100 тысяч населения – 594,3.</w:t>
      </w:r>
    </w:p>
    <w:p w:rsidR="00A1572D" w:rsidRPr="00A1572D" w:rsidRDefault="00A1572D" w:rsidP="00A157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572D" w:rsidRPr="00A1572D" w:rsidRDefault="00A1572D" w:rsidP="00A157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b/>
          <w:sz w:val="24"/>
          <w:szCs w:val="24"/>
        </w:rPr>
        <w:t>Показатели распространенности, пораженности, заболеваемости ВИЧ-инфекции</w:t>
      </w:r>
    </w:p>
    <w:p w:rsidR="00A1572D" w:rsidRPr="00A1572D" w:rsidRDefault="00A1572D" w:rsidP="00A157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b/>
          <w:sz w:val="24"/>
          <w:szCs w:val="24"/>
        </w:rPr>
        <w:t>среди населения РФ, ПФОи УР в 2023-2024 гг. (на 100 тысяч населения)</w:t>
      </w:r>
    </w:p>
    <w:tbl>
      <w:tblPr>
        <w:tblW w:w="0" w:type="auto"/>
        <w:tblInd w:w="-567" w:type="dxa"/>
        <w:tblLayout w:type="fixed"/>
        <w:tblLook w:val="0000" w:firstRow="0" w:lastRow="0" w:firstColumn="0" w:lastColumn="0" w:noHBand="0" w:noVBand="0"/>
      </w:tblPr>
      <w:tblGrid>
        <w:gridCol w:w="1182"/>
        <w:gridCol w:w="1307"/>
        <w:gridCol w:w="1200"/>
        <w:gridCol w:w="1066"/>
        <w:gridCol w:w="1140"/>
        <w:gridCol w:w="1365"/>
        <w:gridCol w:w="1080"/>
        <w:gridCol w:w="1125"/>
        <w:gridCol w:w="1454"/>
      </w:tblGrid>
      <w:tr w:rsidR="00A1572D" w:rsidRPr="00A1572D" w:rsidTr="00A1572D">
        <w:trPr>
          <w:trHeight w:val="379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Года</w:t>
            </w:r>
          </w:p>
        </w:tc>
        <w:tc>
          <w:tcPr>
            <w:tcW w:w="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Показатели</w:t>
            </w:r>
          </w:p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пораженности**</w:t>
            </w:r>
          </w:p>
        </w:tc>
        <w:tc>
          <w:tcPr>
            <w:tcW w:w="5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Показатели</w:t>
            </w:r>
          </w:p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заболеваемости***</w:t>
            </w:r>
          </w:p>
        </w:tc>
      </w:tr>
      <w:tr w:rsidR="00A1572D" w:rsidRPr="00A1572D" w:rsidTr="00A1572D"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ПФО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УР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Глазов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ПФО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УР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0"/>
                <w:szCs w:val="24"/>
              </w:rPr>
              <w:t>Глазов</w:t>
            </w:r>
          </w:p>
        </w:tc>
      </w:tr>
      <w:tr w:rsidR="00A1572D" w:rsidRPr="00A1572D" w:rsidTr="00A1572D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744,1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1"/>
                <w:szCs w:val="21"/>
              </w:rPr>
              <w:t>586,6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44,9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1572D" w:rsidRPr="00A1572D" w:rsidTr="00A1572D"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2024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 данных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687,1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1"/>
                <w:szCs w:val="21"/>
              </w:rPr>
              <w:t>594,3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1"/>
                <w:szCs w:val="21"/>
              </w:rPr>
              <w:t>677,6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 данных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43,1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1572D" w:rsidRPr="00A1572D" w:rsidRDefault="00A1572D" w:rsidP="00A1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572D" w:rsidRPr="00A1572D" w:rsidRDefault="00A1572D" w:rsidP="00A1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** Пораженность = (все выявленные случаи ВИЧ – умершие – выбывшие + прибывшие) /среднегодовая численность населения Х 100000. </w:t>
      </w:r>
    </w:p>
    <w:p w:rsidR="00A1572D" w:rsidRPr="00A1572D" w:rsidRDefault="00A1572D" w:rsidP="00A1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*** Заболеваемость = все выявленные случаи ВИЧ в отчетном году / среднегодовая численность населения Х 100000. </w:t>
      </w:r>
    </w:p>
    <w:p w:rsidR="00A1572D" w:rsidRPr="00A1572D" w:rsidRDefault="00A1572D" w:rsidP="00A1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Число ВИЧ- инфицированных в Удмуртской Республике в 1993-2024гг. </w:t>
      </w:r>
    </w:p>
    <w:p w:rsidR="00A1572D" w:rsidRPr="00A1572D" w:rsidRDefault="00A1572D" w:rsidP="00A1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alibri" w:eastAsia="Times New Roman" w:hAnsi="Calibri" w:cs="Liberation Serif"/>
          <w:lang w:eastAsia="ar-SA"/>
        </w:rPr>
      </w:pPr>
      <w:r w:rsidRPr="00A1572D">
        <w:rPr>
          <w:rFonts w:ascii="Times New Roman" w:eastAsia="Times New Roman" w:hAnsi="Times New Roman" w:cs="Liberation Serif"/>
          <w:sz w:val="20"/>
          <w:szCs w:val="20"/>
          <w:lang w:eastAsia="ar-SA"/>
        </w:rPr>
        <w:t>(абсолютные значения)</w:t>
      </w:r>
    </w:p>
    <w:p w:rsidR="00A1572D" w:rsidRPr="00A1572D" w:rsidRDefault="00A1572D" w:rsidP="00A1572D">
      <w:pPr>
        <w:tabs>
          <w:tab w:val="left" w:pos="284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A1572D" w:rsidRPr="00A1572D" w:rsidRDefault="00604B76" w:rsidP="00A157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98.25pt" filled="t">
            <v:fill color2="black"/>
            <v:imagedata r:id="rId10" o:title=""/>
          </v:shape>
        </w:pict>
      </w:r>
    </w:p>
    <w:p w:rsidR="00A1572D" w:rsidRPr="00A1572D" w:rsidRDefault="00A1572D" w:rsidP="00A157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1572D" w:rsidRPr="00A1572D" w:rsidRDefault="00A1572D" w:rsidP="00A157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г. Глазов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72D" w:rsidRPr="00A1572D" w:rsidRDefault="00A1572D" w:rsidP="00A1572D">
      <w:pPr>
        <w:suppressAutoHyphens/>
        <w:spacing w:after="0" w:line="240" w:lineRule="auto"/>
        <w:ind w:left="-227" w:right="-170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В г. Глазове   на конец 2024 года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зарегистрировано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1225 ВИЧ-инфицированных.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Всего за 2024 в Глазове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вновь выявлено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45 ВИЧ-инфицированных человек против 39 в 202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Пораженность по г. Глазову и Глазовскому району  в 2024г.  составила  677,6 на 100 тысяч населения, что выше показателя по УР в 1,1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раза (по УР –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594,3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100 тысяч населения).</w:t>
      </w:r>
    </w:p>
    <w:p w:rsidR="00A1572D" w:rsidRPr="00A1572D" w:rsidRDefault="00A1572D" w:rsidP="00A157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A1572D" w:rsidRPr="00A1572D" w:rsidRDefault="00A1572D" w:rsidP="00A157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ВИЧ-инфицированных  г. Глазова  по половому составу  в 2023-</w:t>
      </w:r>
      <w:r w:rsidRPr="00A1572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2024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66"/>
        <w:gridCol w:w="1322"/>
        <w:gridCol w:w="1431"/>
        <w:gridCol w:w="1416"/>
        <w:gridCol w:w="1419"/>
        <w:gridCol w:w="1847"/>
        <w:gridCol w:w="1422"/>
      </w:tblGrid>
      <w:tr w:rsidR="00A1572D" w:rsidRPr="00A1572D" w:rsidTr="00A1572D">
        <w:trPr>
          <w:trHeight w:val="191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Годы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мужчины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женщины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1572D" w:rsidRPr="00A1572D" w:rsidTr="00A1572D">
        <w:trPr>
          <w:trHeight w:val="94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Абс. цифры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Абс. цифры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Абс. цифры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1572D" w:rsidRPr="00A1572D" w:rsidTr="00A1572D">
        <w:trPr>
          <w:trHeight w:val="207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</w:rPr>
              <w:t>2023г.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23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16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39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A1572D" w:rsidRPr="00A1572D" w:rsidTr="00A1572D">
        <w:trPr>
          <w:trHeight w:val="207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</w:rPr>
              <w:t>2024г.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25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45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Основную массу  ВИЧ – инфицированных выявленных за все годы регистрации ВИЧ – инфекции в г. Глазове  составляют лица мужского пола, процент  которых составляет 56%, на долю женского пола приходится 44%. В 2024г. в г. Глазове вновь выявлено 25 мужчин (55%) и 20 женщин (45%). </w:t>
      </w:r>
    </w:p>
    <w:p w:rsidR="00A1572D" w:rsidRPr="00A1572D" w:rsidRDefault="00A1572D" w:rsidP="00A1572D">
      <w:pPr>
        <w:numPr>
          <w:ilvl w:val="1"/>
          <w:numId w:val="38"/>
        </w:numPr>
        <w:suppressAutoHyphens/>
        <w:spacing w:after="29" w:line="240" w:lineRule="auto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A1572D" w:rsidRPr="00A1572D" w:rsidRDefault="00A1572D" w:rsidP="00A1572D">
      <w:pPr>
        <w:numPr>
          <w:ilvl w:val="1"/>
          <w:numId w:val="38"/>
        </w:numPr>
        <w:suppressAutoHyphens/>
        <w:spacing w:after="29" w:line="240" w:lineRule="auto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Распределение ВИЧ-инфицированных г. Глазова  по путям передачи в 2023-2024г.г. </w:t>
      </w: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1528"/>
        <w:gridCol w:w="1231"/>
        <w:gridCol w:w="1456"/>
        <w:gridCol w:w="1394"/>
        <w:gridCol w:w="1740"/>
        <w:gridCol w:w="1531"/>
        <w:gridCol w:w="1525"/>
      </w:tblGrid>
      <w:tr w:rsidR="00A1572D" w:rsidRPr="00A1572D" w:rsidTr="00A1572D">
        <w:trPr>
          <w:trHeight w:val="369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</w:rPr>
              <w:t>Годы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Гетеро сексуальный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Гомосексуальный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Наркотический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Во время беременности и родов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При грудном вскармливании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Не установлен</w:t>
            </w:r>
          </w:p>
        </w:tc>
      </w:tr>
      <w:tr w:rsidR="00A1572D" w:rsidRPr="00A1572D" w:rsidTr="00A1572D">
        <w:trPr>
          <w:trHeight w:val="451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2023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31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A1572D" w:rsidRPr="00A1572D" w:rsidTr="00A1572D">
        <w:trPr>
          <w:trHeight w:val="451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2024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Основными путями передачи за весь период регистрации является  гетеросексуальный путь передачи составляет 52%, наркотический -45%, перинатальный контакт и грудное вскармливание составляет –1 %, гомосексуальные контакты — менее 1%.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По путям передачи в 2024 году, как и в предыдущие годы, в г. Глазове преобладает половой путь передачи 35 человек (77%), на втором месте</w:t>
      </w:r>
      <w:r w:rsidR="003839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- наркотический путь составил 8 человек (17%),</w:t>
      </w:r>
      <w:r w:rsidR="003839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гомосексуальный-1 чел (3%), не установленный путь передачи-1 человек (3%). </w:t>
      </w:r>
    </w:p>
    <w:p w:rsidR="00A1572D" w:rsidRPr="00A1572D" w:rsidRDefault="00A1572D" w:rsidP="00A1572D">
      <w:pPr>
        <w:numPr>
          <w:ilvl w:val="1"/>
          <w:numId w:val="38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572D" w:rsidRPr="00A1572D" w:rsidRDefault="00A1572D" w:rsidP="00A1572D">
      <w:pPr>
        <w:numPr>
          <w:ilvl w:val="1"/>
          <w:numId w:val="38"/>
        </w:numPr>
        <w:suppressAutoHyphens/>
        <w:spacing w:after="0" w:line="240" w:lineRule="auto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Распределение ВИЧ-инфицированных </w:t>
      </w:r>
      <w:r w:rsidRPr="00A15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г. Глазове</w:t>
      </w:r>
      <w:r w:rsidRPr="00A1572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возрасту за </w:t>
      </w:r>
      <w:r w:rsidRPr="00A15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2023-2024г.</w:t>
      </w:r>
      <w:r w:rsidRPr="00A1572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0" w:type="auto"/>
        <w:tblInd w:w="-102" w:type="dxa"/>
        <w:tblLayout w:type="fixed"/>
        <w:tblLook w:val="0000" w:firstRow="0" w:lastRow="0" w:firstColumn="0" w:lastColumn="0" w:noHBand="0" w:noVBand="0"/>
      </w:tblPr>
      <w:tblGrid>
        <w:gridCol w:w="1258"/>
        <w:gridCol w:w="872"/>
        <w:gridCol w:w="929"/>
        <w:gridCol w:w="1034"/>
        <w:gridCol w:w="1037"/>
        <w:gridCol w:w="1035"/>
        <w:gridCol w:w="1033"/>
        <w:gridCol w:w="930"/>
        <w:gridCol w:w="1009"/>
        <w:gridCol w:w="1153"/>
      </w:tblGrid>
      <w:tr w:rsidR="00A1572D" w:rsidRPr="00A1572D" w:rsidTr="00A1572D">
        <w:trPr>
          <w:trHeight w:val="369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</w:rPr>
              <w:t>Годы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0-14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15-17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18-24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25-30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31-40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41-50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51-60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Старше</w:t>
            </w:r>
          </w:p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60 лет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</w:tr>
      <w:tr w:rsidR="00A1572D" w:rsidRPr="00A1572D" w:rsidTr="00A1572D">
        <w:trPr>
          <w:trHeight w:val="451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</w:rPr>
              <w:t>2</w:t>
            </w: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023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</w:p>
        </w:tc>
      </w:tr>
      <w:tr w:rsidR="00A1572D" w:rsidRPr="00A1572D" w:rsidTr="00A1572D">
        <w:trPr>
          <w:trHeight w:val="451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По возрастному составу  наибольшее количество ВИЧ – инфицированных г. Глазова, выявленных за все годы р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>егистрации, приходится на возрастной период от 18 до 24 лет и составляет 30%, лица в возрасте  25-30 лет составляют 2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>%, лица в возрасте 31-40 лет составили  2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%, лица в возрасте от 15 до 17 лет составляют 4%, лица в возрасте от 0 – 14 лет составляют 1%, лица в возрасте 41-50 лет составили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%, лица в возрасте 51-60 лет составили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A1572D" w:rsidRPr="00A1572D" w:rsidRDefault="00A1572D" w:rsidP="00A1572D">
      <w:pPr>
        <w:suppressAutoHyphens/>
        <w:spacing w:before="57" w:after="5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За 2024 год больше всего ВИЧ-инфицированных г.Глазова  выявлено в возрастной группе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31-40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лет  –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 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40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%), в возрастной группе 41-50 лет в 2024 году выявлено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33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%), в  возрастной группе 51-60 лет в 2024 году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человека (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%), в  возрастной группе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18-24 года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в 2024 году зарегистрировано 4 чел (10%),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возрасте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старше 60 лет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человек.  От 0 до 24 лет заболеваемости не зарегистрировано. </w:t>
      </w:r>
    </w:p>
    <w:p w:rsidR="00A1572D" w:rsidRPr="00A1572D" w:rsidRDefault="00A1572D" w:rsidP="00A1572D">
      <w:pPr>
        <w:suppressAutoHyphens/>
        <w:spacing w:before="57" w:after="5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Распределение ВИЧ-инфицированных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5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 Глазове по социальному статусу за 2023-2024г.г.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6"/>
        <w:gridCol w:w="2487"/>
        <w:gridCol w:w="2486"/>
        <w:gridCol w:w="2486"/>
      </w:tblGrid>
      <w:tr w:rsidR="00A1572D" w:rsidRPr="00A1572D" w:rsidTr="00A1572D"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14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</w:rPr>
              <w:t>Годы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Работающие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Не работающие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Пенсионеры</w:t>
            </w:r>
          </w:p>
        </w:tc>
      </w:tr>
      <w:tr w:rsidR="00A1572D" w:rsidRPr="00A1572D" w:rsidTr="00A1572D">
        <w:trPr>
          <w:trHeight w:val="392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14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2023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A1572D" w:rsidRPr="00A1572D" w:rsidTr="00A1572D"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14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2024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</w:tbl>
    <w:p w:rsidR="00A1572D" w:rsidRPr="00A1572D" w:rsidRDefault="00A1572D" w:rsidP="00A1572D">
      <w:pPr>
        <w:numPr>
          <w:ilvl w:val="1"/>
          <w:numId w:val="38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1572D" w:rsidRPr="00A1572D" w:rsidRDefault="00A1572D" w:rsidP="00383924">
      <w:pPr>
        <w:numPr>
          <w:ilvl w:val="1"/>
          <w:numId w:val="38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По социальному составу всех ВИЧ – инфицированных выявленных за все годы регистрации в г. Глазове преобладающим большинством являются неработающие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1572D" w:rsidRPr="00A1572D" w:rsidRDefault="00383924" w:rsidP="00383924">
      <w:pPr>
        <w:numPr>
          <w:ilvl w:val="0"/>
          <w:numId w:val="3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1572D" w:rsidRPr="00A15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72D"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2024г. в г.Глазове число работающих и не работающих одинаковое (по 22 чел), а также выявлен 1 пенсионер.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2324"/>
        <w:gridCol w:w="3061"/>
        <w:gridCol w:w="2588"/>
        <w:gridCol w:w="2232"/>
      </w:tblGrid>
      <w:tr w:rsidR="00A1572D" w:rsidRPr="00A1572D" w:rsidTr="00A1572D">
        <w:trPr>
          <w:trHeight w:val="109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Подлежат дисп. учету на 01.01.2024г.</w:t>
            </w:r>
          </w:p>
        </w:tc>
        <w:tc>
          <w:tcPr>
            <w:tcW w:w="2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Состоят на дисп. учете на 01.01.2025г.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   обследованн.                                   </w:t>
            </w: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состоящих  на ДУ)</w:t>
            </w:r>
          </w:p>
        </w:tc>
      </w:tr>
      <w:tr w:rsidR="00A1572D" w:rsidRPr="00A1572D" w:rsidTr="00A1572D">
        <w:trPr>
          <w:trHeight w:val="210"/>
        </w:trPr>
        <w:tc>
          <w:tcPr>
            <w:tcW w:w="23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г.Глазов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97.7</w:t>
            </w:r>
          </w:p>
        </w:tc>
      </w:tr>
      <w:tr w:rsidR="00A1572D" w:rsidRPr="00A1572D" w:rsidTr="00A1572D">
        <w:trPr>
          <w:trHeight w:val="259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УР</w:t>
            </w:r>
          </w:p>
        </w:tc>
        <w:tc>
          <w:tcPr>
            <w:tcW w:w="3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10520</w:t>
            </w: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9083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98.3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572D" w:rsidRPr="00A1572D" w:rsidRDefault="00A1572D" w:rsidP="00A1572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Анализируя данные 2024 года, можно отметить уменьшение числа впервые взятых на учет , но среди них число с признаками иммунодефицита возросло  - это закономерная картина при низких показателях обследования населения региона в  2014-2022г.,  как следствие – на фоне значительного увеличения объемов тестирования на ВИЧ (в 2023г. – в 1,3 раза) зафиксирован  рост  числа выявленных  инфицированных с высоким стажем заражения. Прогнозируем в ближайшие 2 года при сохранении текущих темпов тестирования на ВИЧ  снижение значения  данного показателя.</w:t>
      </w:r>
    </w:p>
    <w:p w:rsidR="00A1572D" w:rsidRPr="00A1572D" w:rsidRDefault="00A1572D" w:rsidP="00A1572D">
      <w:pPr>
        <w:shd w:val="clear" w:color="auto" w:fill="FFFFFF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Распределение  больных, состоящих на диспансерном учете, по стадиям ВИЧ-инфекции, характеризуется снижением доли острой стадии ВИЧ-инфекции (с 1,3 до 0,5%), а также стадий вторичных заболеваний (4А, 4 Б) в пользу 3 стадии (субклинической). При этом сохраняется удельный вес числа пациентов в продвинутой стадии (4В). Такая динамика обусловлена расширением объемов тестирования на ВИЧ (снижается число  недавно заразившихся и выявляются инфицированные более 4-5 лет назад). </w:t>
      </w:r>
      <w:r w:rsidRPr="00A1572D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В последние годы наблюдается рост абсолютного числа больных в стадии СПИДа.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В отчетном году в учреждениях здравоохранения Удмуртии зарегистрировано 180 аварийных ситуаций. В медицинских учреждениях г. Глазова зарегистрировано 5 аварийных ситуаций. Профилактическое лечение  противовирусными препаратами получили все в 100% случаев.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Вместе с тем, ежегодно среди медицинского персонала лечебно-профилактических учреждений республики отмечается недоучет количества зарегистрированных аварийных ситуаций, в том числе – при оказании помощи ВИЧ-инфицированным пациентам, что создает реальную угрозу профессионального заражения медицинского персонала.      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Всего в 2024 года  на диспансерном учете состояло 9 беременных женщин. 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  <w:lang w:eastAsia="en-US"/>
        </w:rPr>
        <w:t>В 2024г. от ВИЧ – инфицированных матерей родилось 8 детей. Сняты с диспансерного учета с диагнозом «здоров» в 2024г. в г.Глазове 12 детей.</w:t>
      </w:r>
      <w:r w:rsidRPr="00A1572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Распределение умерших пациентов с ВИЧ-инфекцией  за 2022-2024г.г.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827"/>
        <w:gridCol w:w="960"/>
        <w:gridCol w:w="957"/>
        <w:gridCol w:w="791"/>
        <w:gridCol w:w="993"/>
        <w:gridCol w:w="850"/>
        <w:gridCol w:w="992"/>
        <w:gridCol w:w="851"/>
        <w:gridCol w:w="992"/>
        <w:gridCol w:w="992"/>
      </w:tblGrid>
      <w:tr w:rsidR="00A1572D" w:rsidRPr="00A1572D" w:rsidTr="00A1572D">
        <w:trPr>
          <w:trHeight w:val="304"/>
        </w:trPr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умерших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Причины, связанные с ВИЧ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Причины, не связанные с ВИЧ</w:t>
            </w:r>
          </w:p>
        </w:tc>
      </w:tr>
      <w:tr w:rsidR="00A1572D" w:rsidRPr="00A1572D" w:rsidTr="00A1572D">
        <w:trPr>
          <w:trHeight w:val="161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tabs>
                <w:tab w:val="left" w:pos="3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tabs>
                <w:tab w:val="left" w:pos="3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tabs>
                <w:tab w:val="left" w:pos="3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1572D" w:rsidRPr="00A1572D" w:rsidTr="00A1572D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A1572D" w:rsidRPr="00A1572D" w:rsidRDefault="00A1572D" w:rsidP="00A1572D">
      <w:pPr>
        <w:suppressAutoHyphens/>
        <w:spacing w:after="29" w:line="240" w:lineRule="auto"/>
        <w:ind w:left="-227" w:right="-170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Тестирование на ВИЧ</w:t>
      </w:r>
    </w:p>
    <w:p w:rsidR="00A1572D" w:rsidRPr="00A1572D" w:rsidRDefault="00A1572D" w:rsidP="00A1572D">
      <w:pPr>
        <w:suppressAutoHyphens/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Анализ качества тестирования населения г. Глазова до 2022г. выявил, что  показатели объемов тестирования населения были ниже , чем в целом по УР.</w:t>
      </w:r>
    </w:p>
    <w:p w:rsidR="00A1572D" w:rsidRPr="00A1572D" w:rsidRDefault="00A1572D" w:rsidP="00A1572D">
      <w:pPr>
        <w:widowControl w:val="0"/>
        <w:tabs>
          <w:tab w:val="left" w:pos="9752"/>
        </w:tabs>
        <w:suppressAutoHyphens/>
        <w:spacing w:after="0" w:line="269" w:lineRule="exact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      С 2023г. число лиц, обследованных на ВИЧ среди совокупного  населения  г. Глазова  значительно увеличилось. В 2024г. составило 33775 человек, что составляет 30,8% от числа подлежащих обследованию, что ниже среднереспубликанского уровня (34 %) и показателя аналогичного периода 2023г. 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A1572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бследования  на ВИЧ по г. Глазову </w:t>
      </w:r>
    </w:p>
    <w:tbl>
      <w:tblPr>
        <w:tblW w:w="0" w:type="auto"/>
        <w:tblInd w:w="-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3465"/>
        <w:gridCol w:w="3165"/>
        <w:gridCol w:w="2490"/>
      </w:tblGrid>
      <w:tr w:rsidR="00A1572D" w:rsidRPr="00A1572D" w:rsidTr="00A1572D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Число  обследованных лиц г.Глазов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% обследованного населения на ВИЧ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Целевой показатель в %</w:t>
            </w:r>
          </w:p>
        </w:tc>
      </w:tr>
      <w:tr w:rsidR="00A1572D" w:rsidRPr="00A1572D" w:rsidTr="00A1572D"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20492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color w:val="C9211E"/>
              </w:rPr>
              <w:t>23,9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  <w:p w:rsidR="00A1572D" w:rsidRPr="00A1572D" w:rsidRDefault="00A1572D" w:rsidP="003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1572D" w:rsidRPr="00A1572D" w:rsidTr="00A1572D"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33775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b/>
                <w:bCs/>
                <w:color w:val="C9211E"/>
              </w:rPr>
              <w:t>35,1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</w:tr>
      <w:tr w:rsidR="00A1572D" w:rsidRPr="00A1572D" w:rsidTr="00383924">
        <w:trPr>
          <w:trHeight w:val="160"/>
        </w:trPr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ahoma"/>
                <w:lang w:eastAsia="en-US"/>
              </w:rPr>
              <w:t>31163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ahoma"/>
                <w:b/>
                <w:bCs/>
                <w:color w:val="C9211E"/>
              </w:rPr>
              <w:t>30,8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572D" w:rsidRPr="00A1572D" w:rsidRDefault="00A1572D" w:rsidP="003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</w:tr>
    </w:tbl>
    <w:p w:rsidR="00A1572D" w:rsidRPr="00A1572D" w:rsidRDefault="00A1572D" w:rsidP="00A1572D">
      <w:pPr>
        <w:widowControl w:val="0"/>
        <w:tabs>
          <w:tab w:val="left" w:pos="9752"/>
        </w:tabs>
        <w:suppressAutoHyphens/>
        <w:spacing w:after="0" w:line="269" w:lineRule="exact"/>
        <w:ind w:left="-283"/>
        <w:rPr>
          <w:rFonts w:ascii="Times New Roman" w:eastAsia="Times New Roman" w:hAnsi="Times New Roman" w:cs="Times New Roman"/>
          <w:sz w:val="28"/>
          <w:szCs w:val="28"/>
        </w:rPr>
      </w:pPr>
    </w:p>
    <w:p w:rsidR="00A1572D" w:rsidRPr="00A1572D" w:rsidRDefault="00A1572D" w:rsidP="00A1572D">
      <w:pPr>
        <w:widowControl w:val="0"/>
        <w:tabs>
          <w:tab w:val="left" w:pos="9752"/>
        </w:tabs>
        <w:suppressAutoHyphens/>
        <w:spacing w:after="0" w:line="269" w:lineRule="exact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               </w:t>
      </w:r>
      <w:r w:rsidRPr="00A1572D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 xml:space="preserve"> Рост числа тестирований на ВИЧ объясняется расширением медицинскими организациями контингентов, подлежащих тестированию на ВИЧ в рамках как плановой и экстренной медицинской помощи, так и диспансеризации населения.</w:t>
      </w:r>
    </w:p>
    <w:p w:rsidR="00A1572D" w:rsidRPr="00A1572D" w:rsidRDefault="00A1572D" w:rsidP="00A1572D">
      <w:pPr>
        <w:widowControl w:val="0"/>
        <w:suppressAutoHyphens/>
        <w:spacing w:after="0" w:line="240" w:lineRule="auto"/>
        <w:ind w:left="-284" w:right="-143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21.12.2020г., утверждена Государственная стратегия противодействия распространению ВИЧ-инфекции на период до 2030г.     В соответствии с целевыми показателями охват медицинским освидетельствованием на ВИЧ-инфекцию населения должен составлять к 2030 году до 39 % от численности населения – это один из основных путей сдерживания дальнейшего распространения ВИЧ:</w:t>
      </w:r>
    </w:p>
    <w:p w:rsidR="00A1572D" w:rsidRPr="00A1572D" w:rsidRDefault="00A1572D" w:rsidP="00A1572D">
      <w:pPr>
        <w:widowControl w:val="0"/>
        <w:suppressAutoHyphens/>
        <w:spacing w:after="0" w:line="240" w:lineRule="auto"/>
        <w:ind w:left="-284" w:right="-143" w:firstLine="56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2" w:type="dxa"/>
        <w:tblLayout w:type="fixed"/>
        <w:tblLook w:val="0000" w:firstRow="0" w:lastRow="0" w:firstColumn="0" w:lastColumn="0" w:noHBand="0" w:noVBand="0"/>
      </w:tblPr>
      <w:tblGrid>
        <w:gridCol w:w="1014"/>
        <w:gridCol w:w="991"/>
        <w:gridCol w:w="979"/>
        <w:gridCol w:w="989"/>
        <w:gridCol w:w="991"/>
        <w:gridCol w:w="990"/>
        <w:gridCol w:w="974"/>
        <w:gridCol w:w="990"/>
        <w:gridCol w:w="1130"/>
        <w:gridCol w:w="1211"/>
      </w:tblGrid>
      <w:tr w:rsidR="00A1572D" w:rsidRPr="00A1572D" w:rsidTr="00A1572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383924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2025г.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2027г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2028г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2029г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2030г</w:t>
            </w:r>
          </w:p>
        </w:tc>
      </w:tr>
      <w:tr w:rsidR="00A1572D" w:rsidRPr="00A1572D" w:rsidTr="00A1572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383924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>34%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72D" w:rsidRPr="00A1572D" w:rsidRDefault="00A1572D" w:rsidP="00A1572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Профилактическая работа ГЗЦ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57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Лекции для немедицинских кадров</w:t>
      </w:r>
    </w:p>
    <w:p w:rsidR="00A1572D" w:rsidRPr="00A1572D" w:rsidRDefault="00A1572D" w:rsidP="00383924">
      <w:pPr>
        <w:widowControl w:val="0"/>
        <w:numPr>
          <w:ilvl w:val="1"/>
          <w:numId w:val="37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Проведено более 50 лекцйи в следующих организациях и учреждениях: АПОУ УР «Глазовский аграрно-промышленный техникум», </w:t>
      </w:r>
      <w:r w:rsidRPr="00A1572D">
        <w:rPr>
          <w:rFonts w:ascii="Times New Roman" w:eastAsia="NSimSun" w:hAnsi="Times New Roman" w:cs="Times New Roman"/>
          <w:bCs/>
          <w:color w:val="000000"/>
          <w:sz w:val="24"/>
          <w:szCs w:val="36"/>
          <w:lang w:eastAsia="zh-CN"/>
        </w:rPr>
        <w:t xml:space="preserve">Молодежный </w:t>
      </w:r>
      <w:r w:rsidRPr="00A15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г. Глазова, </w:t>
      </w:r>
      <w:r w:rsidRPr="00A1572D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Следственный изолятор №2, </w:t>
      </w:r>
      <w:r w:rsidRPr="00A1572D">
        <w:rPr>
          <w:rFonts w:ascii="Times New Roman" w:eastAsia="NSimSun" w:hAnsi="Times New Roman" w:cs="Times New Roman"/>
          <w:bCs/>
          <w:color w:val="000000"/>
          <w:sz w:val="24"/>
          <w:szCs w:val="36"/>
          <w:lang w:eastAsia="zh-CN"/>
        </w:rPr>
        <w:t xml:space="preserve">Ликеро-водочный завод «Глазовский», </w:t>
      </w:r>
      <w:r w:rsidRPr="00A1572D">
        <w:rPr>
          <w:rFonts w:ascii="Times New Roman" w:eastAsia="NSimSun" w:hAnsi="Times New Roman" w:cs="Times New Roman"/>
          <w:bCs/>
          <w:color w:val="000000"/>
          <w:sz w:val="24"/>
          <w:szCs w:val="24"/>
          <w:lang w:eastAsia="zh-CN"/>
        </w:rPr>
        <w:t>Глазовский технический колледж, Г</w:t>
      </w:r>
      <w:r w:rsidRPr="00A1572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лазовскицй инженерно-педагогический университет, МБОУ СОШ 16, Физико-математический лицей, Глазовский филиал Республиканского медицинского колледжа, Глазовский аграрно-промышленный техникумГлазовский политехнический колледж.</w:t>
      </w: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Выступления на телевидении, интервью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7"/>
        <w:gridCol w:w="3696"/>
        <w:gridCol w:w="2522"/>
        <w:gridCol w:w="3027"/>
      </w:tblGrid>
      <w:tr w:rsidR="00A1572D" w:rsidRPr="00A1572D" w:rsidTr="00A15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если на национальном языке – указать какой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Телекомпания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выходов </w:t>
            </w: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эфир</w:t>
            </w:r>
          </w:p>
        </w:tc>
      </w:tr>
      <w:tr w:rsidR="00A1572D" w:rsidRPr="00A1572D" w:rsidTr="00A15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 Всемирному дню борьбы со СПИДом.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Телеканалы: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«Жизнь Глазова»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«НТВ ХИТ»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«ЧЕ»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Выступления на радио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7"/>
        <w:gridCol w:w="3663"/>
        <w:gridCol w:w="2555"/>
        <w:gridCol w:w="3027"/>
      </w:tblGrid>
      <w:tr w:rsidR="00A1572D" w:rsidRPr="00A1572D" w:rsidTr="00A15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если на национальном языке –</w:t>
            </w:r>
          </w:p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какой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Радиокомпания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выходов в эфир</w:t>
            </w:r>
          </w:p>
        </w:tc>
      </w:tr>
      <w:tr w:rsidR="00A1572D" w:rsidRPr="00A1572D" w:rsidTr="00A15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 Всемирному дню борьбы со СПИДом.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 Дача,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 для двоих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 Рекорд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Радио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Статьи в СМИ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7"/>
        <w:gridCol w:w="4387"/>
        <w:gridCol w:w="4859"/>
      </w:tblGrid>
      <w:tr w:rsidR="00A1572D" w:rsidRPr="00A1572D" w:rsidTr="00A15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печатного или электронного  издания</w:t>
            </w:r>
          </w:p>
        </w:tc>
      </w:tr>
      <w:tr w:rsidR="00A1572D" w:rsidRPr="00A1572D" w:rsidTr="00A157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дня тестирования на ВИЧ-инфекцию. Эпидситуация по ВИЧ-инфекции, профилактика ВИЧ-инфекции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glazovlife.ru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72D" w:rsidRPr="00A1572D" w:rsidRDefault="00A1572D" w:rsidP="00A157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7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Акции по анонимному обследованию на ВИЧ-инфекцию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9"/>
        <w:gridCol w:w="6696"/>
        <w:gridCol w:w="2518"/>
      </w:tblGrid>
      <w:tr w:rsidR="00A1572D" w:rsidRPr="00A1572D" w:rsidTr="00A1572D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</w:t>
            </w:r>
          </w:p>
        </w:tc>
      </w:tr>
      <w:tr w:rsidR="00A1572D" w:rsidRPr="00A1572D" w:rsidTr="00A1572D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Глазовский технический колледж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A1572D" w:rsidRPr="00A1572D" w:rsidTr="00A1572D"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numPr>
                <w:ilvl w:val="1"/>
                <w:numId w:val="37"/>
              </w:numPr>
              <w:shd w:val="clear" w:color="auto" w:fill="FFFFFF"/>
              <w:suppressAutoHyphens/>
              <w:spacing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72D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36"/>
                <w:lang w:eastAsia="zh-CN"/>
              </w:rPr>
              <w:t xml:space="preserve">Молодежный </w:t>
            </w:r>
            <w:r w:rsidRPr="00A157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 г. Глазова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A1572D" w:rsidRPr="00A1572D" w:rsidTr="00A1572D"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день тестирования на ВИЧ</w:t>
            </w:r>
          </w:p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</w:t>
            </w:r>
          </w:p>
        </w:tc>
      </w:tr>
      <w:tr w:rsidR="00A1572D" w:rsidRPr="00A1572D" w:rsidTr="00A1572D"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Глазовский инженерно-педагогический университет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A1572D" w:rsidRPr="00A1572D" w:rsidTr="00A1572D"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Глазовский инженерно-педагогический университет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A1572D" w:rsidRPr="00A1572D" w:rsidTr="00A1572D"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Глазовский филиал Республиканского медицинского колледжа.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572D" w:rsidRPr="00A1572D" w:rsidTr="00A1572D"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before="57" w:after="57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УФСИН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A1572D" w:rsidRPr="00A1572D" w:rsidTr="00A1572D"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before="57" w:after="57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72D" w:rsidRPr="00A1572D" w:rsidRDefault="00A1572D" w:rsidP="00A1572D">
            <w:pPr>
              <w:widowControl w:val="0"/>
              <w:shd w:val="clear" w:color="auto" w:fill="FFFFFF"/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370</w:t>
            </w:r>
          </w:p>
        </w:tc>
      </w:tr>
    </w:tbl>
    <w:p w:rsidR="00A1572D" w:rsidRPr="00A1572D" w:rsidRDefault="00A1572D" w:rsidP="00A1572D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1572D" w:rsidRDefault="00383924" w:rsidP="00980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383924" w:rsidRPr="00383924" w:rsidRDefault="00383924" w:rsidP="00383924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83924">
        <w:rPr>
          <w:rFonts w:ascii="Times New Roman" w:hAnsi="Times New Roman" w:cs="Times New Roman"/>
          <w:sz w:val="24"/>
          <w:szCs w:val="24"/>
        </w:rPr>
        <w:t>Продолжить совместно с Зональным центром профилактическую работу в у учреждениях и на предприятиях города Глазова. Срок –постоянно. Отв. Обухова О.О., Науменко Л.Э, Касимова Е.Л.</w:t>
      </w:r>
    </w:p>
    <w:p w:rsidR="003A6FF9" w:rsidRPr="00794729" w:rsidRDefault="00383924" w:rsidP="009808A8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83924">
        <w:rPr>
          <w:rFonts w:ascii="Times New Roman" w:hAnsi="Times New Roman" w:cs="Times New Roman"/>
          <w:sz w:val="24"/>
          <w:szCs w:val="24"/>
        </w:rPr>
        <w:t>Включать проведение тестирования в проводимые мероприятия городского событийного календаря и мероприятий программы «Территория здоровья и добра». Срок – в теч</w:t>
      </w:r>
      <w:r w:rsidR="00794729">
        <w:rPr>
          <w:rFonts w:ascii="Times New Roman" w:hAnsi="Times New Roman" w:cs="Times New Roman"/>
          <w:sz w:val="24"/>
          <w:szCs w:val="24"/>
        </w:rPr>
        <w:t>ение года. Отв. – Станкевич О.В</w:t>
      </w:r>
    </w:p>
    <w:p w:rsidR="009A5A87" w:rsidRPr="009808A8" w:rsidRDefault="00794729" w:rsidP="00980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947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41F2" w:rsidRPr="009808A8">
        <w:rPr>
          <w:rFonts w:ascii="Times New Roman" w:hAnsi="Times New Roman" w:cs="Times New Roman"/>
          <w:b/>
          <w:sz w:val="24"/>
          <w:szCs w:val="24"/>
        </w:rPr>
        <w:t>О контроле исполнения решений республиканской антинаркотической комиссии.</w:t>
      </w:r>
    </w:p>
    <w:p w:rsidR="00794729" w:rsidRDefault="009808A8" w:rsidP="00794729">
      <w:pPr>
        <w:pStyle w:val="ab"/>
        <w:rPr>
          <w:rFonts w:ascii="Times New Roman" w:hAnsi="Times New Roman" w:cs="Times New Roman"/>
          <w:sz w:val="24"/>
          <w:szCs w:val="24"/>
        </w:rPr>
      </w:pPr>
      <w:r w:rsidRPr="009808A8">
        <w:rPr>
          <w:rFonts w:ascii="Times New Roman" w:hAnsi="Times New Roman" w:cs="Times New Roman"/>
          <w:sz w:val="24"/>
          <w:szCs w:val="24"/>
        </w:rPr>
        <w:t xml:space="preserve">Неисполненных решений протокола № </w:t>
      </w:r>
      <w:r w:rsidR="00794729">
        <w:rPr>
          <w:rFonts w:ascii="Times New Roman" w:hAnsi="Times New Roman" w:cs="Times New Roman"/>
          <w:sz w:val="24"/>
          <w:szCs w:val="24"/>
        </w:rPr>
        <w:t>68</w:t>
      </w:r>
      <w:r w:rsidRPr="009808A8">
        <w:rPr>
          <w:rFonts w:ascii="Times New Roman" w:hAnsi="Times New Roman" w:cs="Times New Roman"/>
          <w:sz w:val="24"/>
          <w:szCs w:val="24"/>
        </w:rPr>
        <w:t xml:space="preserve"> республиканской антинаркотической комиссии нет.</w:t>
      </w:r>
    </w:p>
    <w:p w:rsidR="009808A8" w:rsidRPr="00794729" w:rsidRDefault="00794729" w:rsidP="00794729">
      <w:pPr>
        <w:rPr>
          <w:rFonts w:ascii="Times New Roman" w:hAnsi="Times New Roman" w:cs="Times New Roman"/>
          <w:sz w:val="24"/>
          <w:szCs w:val="24"/>
        </w:rPr>
      </w:pPr>
      <w:r w:rsidRPr="00794729">
        <w:rPr>
          <w:rFonts w:ascii="Times New Roman" w:hAnsi="Times New Roman" w:cs="Times New Roman"/>
          <w:b/>
          <w:sz w:val="24"/>
          <w:szCs w:val="24"/>
        </w:rPr>
        <w:t>8</w:t>
      </w:r>
      <w:r w:rsidR="009808A8" w:rsidRPr="00794729">
        <w:rPr>
          <w:rFonts w:ascii="Times New Roman" w:hAnsi="Times New Roman" w:cs="Times New Roman"/>
          <w:b/>
          <w:sz w:val="24"/>
          <w:szCs w:val="24"/>
        </w:rPr>
        <w:t>. Об исполнении решений муниципальной антинаркотической комиссии.</w:t>
      </w:r>
    </w:p>
    <w:p w:rsidR="009808A8" w:rsidRDefault="009808A8" w:rsidP="009808A8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808A8">
        <w:rPr>
          <w:rFonts w:ascii="Times New Roman" w:hAnsi="Times New Roman" w:cs="Times New Roman"/>
          <w:sz w:val="24"/>
          <w:szCs w:val="24"/>
        </w:rPr>
        <w:t xml:space="preserve"> Неисполненных решений муниципальной ком</w:t>
      </w:r>
      <w:r w:rsidR="00794729">
        <w:rPr>
          <w:rFonts w:ascii="Times New Roman" w:hAnsi="Times New Roman" w:cs="Times New Roman"/>
          <w:sz w:val="24"/>
          <w:szCs w:val="24"/>
        </w:rPr>
        <w:t>иссии (протокол №4 от 27.12.2024</w:t>
      </w:r>
      <w:r w:rsidRPr="009808A8">
        <w:rPr>
          <w:rFonts w:ascii="Times New Roman" w:hAnsi="Times New Roman" w:cs="Times New Roman"/>
          <w:sz w:val="24"/>
          <w:szCs w:val="24"/>
        </w:rPr>
        <w:t xml:space="preserve"> года)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08A8">
        <w:rPr>
          <w:rFonts w:ascii="Times New Roman" w:hAnsi="Times New Roman" w:cs="Times New Roman"/>
          <w:sz w:val="24"/>
          <w:szCs w:val="24"/>
        </w:rPr>
        <w:t>нет.</w:t>
      </w:r>
    </w:p>
    <w:p w:rsidR="009808A8" w:rsidRDefault="009808A8" w:rsidP="009808A8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9808A8" w:rsidRPr="009808A8" w:rsidRDefault="009808A8" w:rsidP="009808A8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                        С.Н.Коновалов</w:t>
      </w:r>
    </w:p>
    <w:p w:rsidR="009808A8" w:rsidRPr="009808A8" w:rsidRDefault="009808A8" w:rsidP="009808A8">
      <w:pPr>
        <w:rPr>
          <w:rFonts w:ascii="Times New Roman" w:hAnsi="Times New Roman" w:cs="Times New Roman"/>
          <w:b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sectPr w:rsidR="009A5A87" w:rsidSect="00A1572D">
      <w:headerReference w:type="even" r:id="rId11"/>
      <w:footerReference w:type="even" r:id="rId12"/>
      <w:footerReference w:type="default" r:id="rId13"/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02" w:rsidRDefault="009E1202" w:rsidP="008F7523">
      <w:pPr>
        <w:spacing w:after="0" w:line="240" w:lineRule="auto"/>
      </w:pPr>
      <w:r>
        <w:separator/>
      </w:r>
    </w:p>
  </w:endnote>
  <w:endnote w:type="continuationSeparator" w:id="0">
    <w:p w:rsidR="009E1202" w:rsidRDefault="009E1202" w:rsidP="008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2D" w:rsidRDefault="00A1572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A1572D" w:rsidRDefault="00A157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2D" w:rsidRDefault="00A157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02" w:rsidRDefault="009E1202" w:rsidP="008F7523">
      <w:pPr>
        <w:spacing w:after="0" w:line="240" w:lineRule="auto"/>
      </w:pPr>
      <w:r>
        <w:separator/>
      </w:r>
    </w:p>
  </w:footnote>
  <w:footnote w:type="continuationSeparator" w:id="0">
    <w:p w:rsidR="009E1202" w:rsidRDefault="009E1202" w:rsidP="008F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2D" w:rsidRDefault="00A1572D" w:rsidP="0044106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100</w:t>
    </w:r>
    <w:r>
      <w:rPr>
        <w:rStyle w:val="a5"/>
      </w:rPr>
      <w:fldChar w:fldCharType="end"/>
    </w:r>
  </w:p>
  <w:p w:rsidR="00A1572D" w:rsidRDefault="00A1572D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3187B"/>
    <w:multiLevelType w:val="hybridMultilevel"/>
    <w:tmpl w:val="D0AC0F2C"/>
    <w:lvl w:ilvl="0" w:tplc="BF20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C5517"/>
    <w:multiLevelType w:val="hybridMultilevel"/>
    <w:tmpl w:val="0A44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C2E68"/>
    <w:multiLevelType w:val="hybridMultilevel"/>
    <w:tmpl w:val="E3409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0130F"/>
    <w:multiLevelType w:val="hybridMultilevel"/>
    <w:tmpl w:val="C98E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959"/>
    <w:multiLevelType w:val="hybridMultilevel"/>
    <w:tmpl w:val="2C42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064C3"/>
    <w:multiLevelType w:val="hybridMultilevel"/>
    <w:tmpl w:val="61F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2185F"/>
    <w:multiLevelType w:val="hybridMultilevel"/>
    <w:tmpl w:val="1090A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24FCE"/>
    <w:multiLevelType w:val="hybridMultilevel"/>
    <w:tmpl w:val="3AF4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D073A"/>
    <w:multiLevelType w:val="hybridMultilevel"/>
    <w:tmpl w:val="8B5C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83D47"/>
    <w:multiLevelType w:val="multilevel"/>
    <w:tmpl w:val="211C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2">
    <w:nsid w:val="18C62BBC"/>
    <w:multiLevelType w:val="hybridMultilevel"/>
    <w:tmpl w:val="9202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A0FB6"/>
    <w:multiLevelType w:val="hybridMultilevel"/>
    <w:tmpl w:val="AE3A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061050"/>
    <w:multiLevelType w:val="hybridMultilevel"/>
    <w:tmpl w:val="B61E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4002A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340D2"/>
    <w:multiLevelType w:val="hybridMultilevel"/>
    <w:tmpl w:val="580052B8"/>
    <w:lvl w:ilvl="0" w:tplc="F84ABB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2E8D168E"/>
    <w:multiLevelType w:val="hybridMultilevel"/>
    <w:tmpl w:val="5C0E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931F0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13268"/>
    <w:multiLevelType w:val="multilevel"/>
    <w:tmpl w:val="E9702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72" w:hanging="1800"/>
      </w:pPr>
      <w:rPr>
        <w:rFonts w:hint="default"/>
      </w:rPr>
    </w:lvl>
  </w:abstractNum>
  <w:abstractNum w:abstractNumId="20">
    <w:nsid w:val="363E37BD"/>
    <w:multiLevelType w:val="multilevel"/>
    <w:tmpl w:val="24D0B2AE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648"/>
        </w:tabs>
        <w:ind w:left="1648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368"/>
        </w:tabs>
        <w:ind w:left="2368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3088"/>
        </w:tabs>
        <w:ind w:left="3088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808"/>
        </w:tabs>
        <w:ind w:left="3808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528"/>
        </w:tabs>
        <w:ind w:left="4528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248"/>
        </w:tabs>
        <w:ind w:left="5248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968"/>
        </w:tabs>
        <w:ind w:left="5968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688"/>
        </w:tabs>
        <w:ind w:left="6688" w:hanging="360"/>
      </w:pPr>
      <w:rPr>
        <w:rFonts w:ascii="Wingdings" w:hAnsi="Wingdings"/>
        <w:sz w:val="20"/>
      </w:rPr>
    </w:lvl>
  </w:abstractNum>
  <w:abstractNum w:abstractNumId="21">
    <w:nsid w:val="37AA37AE"/>
    <w:multiLevelType w:val="hybridMultilevel"/>
    <w:tmpl w:val="2D42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754F9"/>
    <w:multiLevelType w:val="hybridMultilevel"/>
    <w:tmpl w:val="90DE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77B67"/>
    <w:multiLevelType w:val="hybridMultilevel"/>
    <w:tmpl w:val="58CE6AAE"/>
    <w:lvl w:ilvl="0" w:tplc="35FA2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16027"/>
    <w:multiLevelType w:val="hybridMultilevel"/>
    <w:tmpl w:val="3DE6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65D80"/>
    <w:multiLevelType w:val="hybridMultilevel"/>
    <w:tmpl w:val="1360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313FE"/>
    <w:multiLevelType w:val="hybridMultilevel"/>
    <w:tmpl w:val="486E1A3C"/>
    <w:lvl w:ilvl="0" w:tplc="214E2EE4">
      <w:start w:val="1"/>
      <w:numFmt w:val="decimal"/>
      <w:lvlText w:val="%1."/>
      <w:lvlJc w:val="left"/>
      <w:pPr>
        <w:ind w:left="-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>
    <w:nsid w:val="5B104971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75E2D"/>
    <w:multiLevelType w:val="hybridMultilevel"/>
    <w:tmpl w:val="0466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52946"/>
    <w:multiLevelType w:val="hybridMultilevel"/>
    <w:tmpl w:val="764C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DF7"/>
    <w:multiLevelType w:val="hybridMultilevel"/>
    <w:tmpl w:val="6BB21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600A8F"/>
    <w:multiLevelType w:val="hybridMultilevel"/>
    <w:tmpl w:val="E3CC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C21A9"/>
    <w:multiLevelType w:val="hybridMultilevel"/>
    <w:tmpl w:val="C9C6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637C8"/>
    <w:multiLevelType w:val="hybridMultilevel"/>
    <w:tmpl w:val="1B74AEA0"/>
    <w:lvl w:ilvl="0" w:tplc="F968C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D390C"/>
    <w:multiLevelType w:val="hybridMultilevel"/>
    <w:tmpl w:val="BD12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F35FB"/>
    <w:multiLevelType w:val="hybridMultilevel"/>
    <w:tmpl w:val="6A98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32066"/>
    <w:multiLevelType w:val="hybridMultilevel"/>
    <w:tmpl w:val="1A24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F38EF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A48E1"/>
    <w:multiLevelType w:val="hybridMultilevel"/>
    <w:tmpl w:val="007283D0"/>
    <w:lvl w:ilvl="0" w:tplc="DC5062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6"/>
  </w:num>
  <w:num w:numId="4">
    <w:abstractNumId w:val="35"/>
  </w:num>
  <w:num w:numId="5">
    <w:abstractNumId w:val="37"/>
  </w:num>
  <w:num w:numId="6">
    <w:abstractNumId w:val="29"/>
  </w:num>
  <w:num w:numId="7">
    <w:abstractNumId w:val="18"/>
  </w:num>
  <w:num w:numId="8">
    <w:abstractNumId w:val="24"/>
  </w:num>
  <w:num w:numId="9">
    <w:abstractNumId w:val="21"/>
  </w:num>
  <w:num w:numId="10">
    <w:abstractNumId w:val="12"/>
  </w:num>
  <w:num w:numId="11">
    <w:abstractNumId w:val="25"/>
  </w:num>
  <w:num w:numId="12">
    <w:abstractNumId w:val="27"/>
  </w:num>
  <w:num w:numId="13">
    <w:abstractNumId w:val="15"/>
  </w:num>
  <w:num w:numId="14">
    <w:abstractNumId w:val="31"/>
  </w:num>
  <w:num w:numId="15">
    <w:abstractNumId w:val="11"/>
  </w:num>
  <w:num w:numId="16">
    <w:abstractNumId w:val="2"/>
  </w:num>
  <w:num w:numId="17">
    <w:abstractNumId w:val="34"/>
  </w:num>
  <w:num w:numId="18">
    <w:abstractNumId w:val="7"/>
  </w:num>
  <w:num w:numId="19">
    <w:abstractNumId w:val="16"/>
  </w:num>
  <w:num w:numId="20">
    <w:abstractNumId w:val="14"/>
  </w:num>
  <w:num w:numId="21">
    <w:abstractNumId w:val="33"/>
  </w:num>
  <w:num w:numId="22">
    <w:abstractNumId w:val="28"/>
  </w:num>
  <w:num w:numId="23">
    <w:abstractNumId w:val="6"/>
  </w:num>
  <w:num w:numId="24">
    <w:abstractNumId w:val="30"/>
  </w:num>
  <w:num w:numId="25">
    <w:abstractNumId w:val="23"/>
  </w:num>
  <w:num w:numId="26">
    <w:abstractNumId w:val="8"/>
  </w:num>
  <w:num w:numId="27">
    <w:abstractNumId w:val="5"/>
  </w:num>
  <w:num w:numId="28">
    <w:abstractNumId w:val="22"/>
  </w:num>
  <w:num w:numId="29">
    <w:abstractNumId w:val="20"/>
  </w:num>
  <w:num w:numId="30">
    <w:abstractNumId w:val="38"/>
  </w:num>
  <w:num w:numId="31">
    <w:abstractNumId w:val="17"/>
  </w:num>
  <w:num w:numId="32">
    <w:abstractNumId w:val="36"/>
  </w:num>
  <w:num w:numId="33">
    <w:abstractNumId w:val="10"/>
  </w:num>
  <w:num w:numId="34">
    <w:abstractNumId w:val="9"/>
  </w:num>
  <w:num w:numId="35">
    <w:abstractNumId w:val="19"/>
  </w:num>
  <w:num w:numId="36">
    <w:abstractNumId w:val="3"/>
  </w:num>
  <w:num w:numId="37">
    <w:abstractNumId w:val="0"/>
  </w:num>
  <w:num w:numId="38">
    <w:abstractNumId w:val="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0559C"/>
    <w:rsid w:val="000072AF"/>
    <w:rsid w:val="00042273"/>
    <w:rsid w:val="00074781"/>
    <w:rsid w:val="0008252B"/>
    <w:rsid w:val="00083184"/>
    <w:rsid w:val="000864C3"/>
    <w:rsid w:val="00092841"/>
    <w:rsid w:val="00094901"/>
    <w:rsid w:val="000B3040"/>
    <w:rsid w:val="001075C2"/>
    <w:rsid w:val="00110AA3"/>
    <w:rsid w:val="001461DA"/>
    <w:rsid w:val="00156B91"/>
    <w:rsid w:val="00166227"/>
    <w:rsid w:val="0017736E"/>
    <w:rsid w:val="001B5CB9"/>
    <w:rsid w:val="001C2242"/>
    <w:rsid w:val="001D4B47"/>
    <w:rsid w:val="001F0EC6"/>
    <w:rsid w:val="002033F5"/>
    <w:rsid w:val="002149A1"/>
    <w:rsid w:val="0021759E"/>
    <w:rsid w:val="00217DEF"/>
    <w:rsid w:val="002220F4"/>
    <w:rsid w:val="0022342C"/>
    <w:rsid w:val="00251053"/>
    <w:rsid w:val="002673A0"/>
    <w:rsid w:val="00281EF0"/>
    <w:rsid w:val="0028557F"/>
    <w:rsid w:val="00292477"/>
    <w:rsid w:val="002A1CA5"/>
    <w:rsid w:val="002B1050"/>
    <w:rsid w:val="002E2A63"/>
    <w:rsid w:val="002F365E"/>
    <w:rsid w:val="00305321"/>
    <w:rsid w:val="003670BF"/>
    <w:rsid w:val="00372533"/>
    <w:rsid w:val="003803A3"/>
    <w:rsid w:val="00383924"/>
    <w:rsid w:val="003964B9"/>
    <w:rsid w:val="00396D67"/>
    <w:rsid w:val="003A6FF9"/>
    <w:rsid w:val="003B342C"/>
    <w:rsid w:val="003E2DB0"/>
    <w:rsid w:val="003E35A4"/>
    <w:rsid w:val="00401F2C"/>
    <w:rsid w:val="0043701C"/>
    <w:rsid w:val="00441065"/>
    <w:rsid w:val="00467E1C"/>
    <w:rsid w:val="0049036A"/>
    <w:rsid w:val="004A5830"/>
    <w:rsid w:val="004D5AE0"/>
    <w:rsid w:val="004D6337"/>
    <w:rsid w:val="004D6AF7"/>
    <w:rsid w:val="0051186B"/>
    <w:rsid w:val="00520213"/>
    <w:rsid w:val="00572B88"/>
    <w:rsid w:val="0057665E"/>
    <w:rsid w:val="005941F2"/>
    <w:rsid w:val="005C5C70"/>
    <w:rsid w:val="00604B76"/>
    <w:rsid w:val="00686AA6"/>
    <w:rsid w:val="006968B9"/>
    <w:rsid w:val="006E529F"/>
    <w:rsid w:val="0070490D"/>
    <w:rsid w:val="00704E2D"/>
    <w:rsid w:val="00764D47"/>
    <w:rsid w:val="00794729"/>
    <w:rsid w:val="007D4AE3"/>
    <w:rsid w:val="007E3442"/>
    <w:rsid w:val="007E7EF4"/>
    <w:rsid w:val="008130BD"/>
    <w:rsid w:val="00831E38"/>
    <w:rsid w:val="008758F1"/>
    <w:rsid w:val="008A4A26"/>
    <w:rsid w:val="008B633B"/>
    <w:rsid w:val="008D255E"/>
    <w:rsid w:val="008D297F"/>
    <w:rsid w:val="008E5287"/>
    <w:rsid w:val="008F33AA"/>
    <w:rsid w:val="008F7523"/>
    <w:rsid w:val="00912A70"/>
    <w:rsid w:val="00931224"/>
    <w:rsid w:val="00944875"/>
    <w:rsid w:val="00955C02"/>
    <w:rsid w:val="009765E3"/>
    <w:rsid w:val="009808A8"/>
    <w:rsid w:val="0098145E"/>
    <w:rsid w:val="009A0519"/>
    <w:rsid w:val="009A4B11"/>
    <w:rsid w:val="009A4BA2"/>
    <w:rsid w:val="009A5A87"/>
    <w:rsid w:val="009C03FF"/>
    <w:rsid w:val="009D0A10"/>
    <w:rsid w:val="009D1E39"/>
    <w:rsid w:val="009E1202"/>
    <w:rsid w:val="00A141B9"/>
    <w:rsid w:val="00A1572D"/>
    <w:rsid w:val="00A21A4D"/>
    <w:rsid w:val="00A3751C"/>
    <w:rsid w:val="00A40E0A"/>
    <w:rsid w:val="00A45750"/>
    <w:rsid w:val="00A7479D"/>
    <w:rsid w:val="00A768F5"/>
    <w:rsid w:val="00A85917"/>
    <w:rsid w:val="00A924CB"/>
    <w:rsid w:val="00A941A5"/>
    <w:rsid w:val="00AB23B3"/>
    <w:rsid w:val="00AE226C"/>
    <w:rsid w:val="00AF5370"/>
    <w:rsid w:val="00B07C72"/>
    <w:rsid w:val="00B10DB9"/>
    <w:rsid w:val="00B10E67"/>
    <w:rsid w:val="00B15A2E"/>
    <w:rsid w:val="00B446AE"/>
    <w:rsid w:val="00B60535"/>
    <w:rsid w:val="00B96BE8"/>
    <w:rsid w:val="00BC5556"/>
    <w:rsid w:val="00BE07C0"/>
    <w:rsid w:val="00BE4664"/>
    <w:rsid w:val="00C221ED"/>
    <w:rsid w:val="00C33E6B"/>
    <w:rsid w:val="00C4403F"/>
    <w:rsid w:val="00C44AE8"/>
    <w:rsid w:val="00C7577E"/>
    <w:rsid w:val="00C83C5A"/>
    <w:rsid w:val="00C941F7"/>
    <w:rsid w:val="00CB6BA2"/>
    <w:rsid w:val="00CC70E8"/>
    <w:rsid w:val="00CF5279"/>
    <w:rsid w:val="00D218AA"/>
    <w:rsid w:val="00D54C08"/>
    <w:rsid w:val="00D60108"/>
    <w:rsid w:val="00D730A2"/>
    <w:rsid w:val="00DC31BB"/>
    <w:rsid w:val="00DD1FD1"/>
    <w:rsid w:val="00DE0289"/>
    <w:rsid w:val="00E13096"/>
    <w:rsid w:val="00E238EE"/>
    <w:rsid w:val="00E248BD"/>
    <w:rsid w:val="00E554EF"/>
    <w:rsid w:val="00E557A7"/>
    <w:rsid w:val="00E60161"/>
    <w:rsid w:val="00E91CA7"/>
    <w:rsid w:val="00ED202F"/>
    <w:rsid w:val="00EF10E0"/>
    <w:rsid w:val="00F2033F"/>
    <w:rsid w:val="00F372E8"/>
    <w:rsid w:val="00F4120C"/>
    <w:rsid w:val="00F66850"/>
    <w:rsid w:val="00F669C5"/>
    <w:rsid w:val="00F81298"/>
    <w:rsid w:val="00F8579B"/>
    <w:rsid w:val="00F94863"/>
    <w:rsid w:val="00F96C39"/>
    <w:rsid w:val="00FA1A51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0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0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c"/>
    <w:uiPriority w:val="59"/>
    <w:rsid w:val="007D4AE3"/>
    <w:pPr>
      <w:spacing w:after="0" w:line="240" w:lineRule="auto"/>
      <w:jc w:val="left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0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0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c"/>
    <w:uiPriority w:val="59"/>
    <w:rsid w:val="007D4AE3"/>
    <w:pPr>
      <w:spacing w:after="0" w:line="240" w:lineRule="auto"/>
      <w:jc w:val="left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0C87-7147-4F9F-9FC4-904E5D7F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4810</Words>
  <Characters>27420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Андрей Полев</cp:lastModifiedBy>
  <cp:revision>2</cp:revision>
  <cp:lastPrinted>2024-04-03T06:25:00Z</cp:lastPrinted>
  <dcterms:created xsi:type="dcterms:W3CDTF">2025-07-17T13:10:00Z</dcterms:created>
  <dcterms:modified xsi:type="dcterms:W3CDTF">2025-07-17T13:10:00Z</dcterms:modified>
</cp:coreProperties>
</file>